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03" w:firstLineChars="200"/>
        <w:jc w:val="right"/>
        <w:rPr>
          <w:rFonts w:hint="default" w:ascii="Times New Roman" w:hAnsi="Times New Roman" w:eastAsia="楷体_GB2312" w:cs="Times New Roman"/>
          <w:b/>
          <w:bCs/>
          <w:snapToGrid w:val="0"/>
          <w:color w:val="000000"/>
          <w:sz w:val="40"/>
        </w:rPr>
      </w:pPr>
      <w:r>
        <w:rPr>
          <w:rFonts w:hint="default" w:ascii="Times New Roman" w:hAnsi="Times New Roman" w:eastAsia="楷体_GB2312" w:cs="Times New Roman"/>
          <w:b/>
          <w:bCs/>
          <w:snapToGrid w:val="0"/>
          <w:color w:val="000000"/>
          <w:sz w:val="40"/>
        </w:rPr>
        <w:t>内部参阅</w:t>
      </w:r>
    </w:p>
    <w:p>
      <w:pPr>
        <w:jc w:val="center"/>
        <w:rPr>
          <w:rFonts w:hint="default" w:ascii="Times New Roman" w:hAnsi="Times New Roman" w:cs="Times New Roman"/>
          <w:b/>
          <w:bCs/>
          <w:snapToGrid w:val="0"/>
          <w:color w:val="FF0000"/>
          <w:spacing w:val="50"/>
          <w:sz w:val="56"/>
          <w:szCs w:val="56"/>
        </w:rPr>
      </w:pPr>
      <w:r>
        <w:rPr>
          <w:rFonts w:hint="default" w:ascii="Times New Roman" w:hAnsi="Times New Roman" w:eastAsia="方正小标宋简体" w:cs="Times New Roman"/>
          <w:b/>
          <w:bCs/>
          <w:snapToGrid w:val="0"/>
          <w:color w:val="FF0000"/>
          <w:spacing w:val="50"/>
          <w:sz w:val="56"/>
          <w:szCs w:val="56"/>
        </w:rPr>
        <w:t>教科研成果推广应用简报</w:t>
      </w:r>
    </w:p>
    <w:p>
      <w:pPr>
        <w:tabs>
          <w:tab w:val="right" w:pos="8497"/>
        </w:tabs>
        <w:ind w:firstLine="602" w:firstLineChars="200"/>
        <w:jc w:val="center"/>
        <w:rPr>
          <w:rFonts w:hint="default" w:ascii="Times New Roman" w:hAnsi="Times New Roman" w:eastAsia="楷体_GB2312" w:cs="Times New Roman"/>
          <w:b/>
          <w:snapToGrid w:val="0"/>
          <w:color w:val="000000"/>
          <w:kern w:val="0"/>
          <w:sz w:val="30"/>
          <w:szCs w:val="30"/>
        </w:rPr>
      </w:pPr>
      <w:r>
        <w:rPr>
          <w:rFonts w:hint="default" w:ascii="Times New Roman" w:hAnsi="Times New Roman" w:eastAsia="楷体_GB2312" w:cs="Times New Roman"/>
          <w:b/>
          <w:snapToGrid w:val="0"/>
          <w:color w:val="000000"/>
          <w:kern w:val="0"/>
          <w:sz w:val="30"/>
          <w:szCs w:val="30"/>
        </w:rPr>
        <w:t xml:space="preserve">2023年第 </w:t>
      </w:r>
      <w:r>
        <w:rPr>
          <w:rFonts w:hint="eastAsia" w:eastAsia="楷体_GB2312" w:cs="Times New Roman"/>
          <w:b/>
          <w:snapToGrid w:val="0"/>
          <w:color w:val="000000"/>
          <w:kern w:val="0"/>
          <w:sz w:val="30"/>
          <w:szCs w:val="30"/>
          <w:lang w:val="en-US" w:eastAsia="zh-CN"/>
        </w:rPr>
        <w:t>2</w:t>
      </w:r>
      <w:r>
        <w:rPr>
          <w:rFonts w:hint="default" w:ascii="Times New Roman" w:hAnsi="Times New Roman" w:eastAsia="楷体_GB2312" w:cs="Times New Roman"/>
          <w:b/>
          <w:snapToGrid w:val="0"/>
          <w:color w:val="000000"/>
          <w:kern w:val="0"/>
          <w:sz w:val="30"/>
          <w:szCs w:val="30"/>
        </w:rPr>
        <w:t xml:space="preserve"> 期（总第 1</w:t>
      </w:r>
      <w:r>
        <w:rPr>
          <w:rFonts w:hint="eastAsia" w:eastAsia="楷体_GB2312" w:cs="Times New Roman"/>
          <w:b/>
          <w:snapToGrid w:val="0"/>
          <w:color w:val="000000"/>
          <w:kern w:val="0"/>
          <w:sz w:val="30"/>
          <w:szCs w:val="30"/>
          <w:lang w:val="en-US" w:eastAsia="zh-CN"/>
        </w:rPr>
        <w:t>6</w:t>
      </w:r>
      <w:r>
        <w:rPr>
          <w:rFonts w:hint="default" w:ascii="Times New Roman" w:hAnsi="Times New Roman" w:eastAsia="楷体_GB2312" w:cs="Times New Roman"/>
          <w:b/>
          <w:snapToGrid w:val="0"/>
          <w:color w:val="000000"/>
          <w:kern w:val="0"/>
          <w:sz w:val="30"/>
          <w:szCs w:val="30"/>
        </w:rPr>
        <w:t xml:space="preserve"> 期）</w:t>
      </w:r>
    </w:p>
    <w:p>
      <w:pPr>
        <w:tabs>
          <w:tab w:val="right" w:pos="8497"/>
        </w:tabs>
        <w:ind w:firstLine="602" w:firstLineChars="200"/>
        <w:jc w:val="center"/>
        <w:rPr>
          <w:rFonts w:hint="default" w:ascii="Times New Roman" w:hAnsi="Times New Roman" w:eastAsia="楷体_GB2312" w:cs="Times New Roman"/>
          <w:b/>
          <w:snapToGrid w:val="0"/>
          <w:color w:val="000000"/>
          <w:kern w:val="0"/>
          <w:sz w:val="30"/>
          <w:szCs w:val="30"/>
        </w:rPr>
      </w:pPr>
    </w:p>
    <w:p>
      <w:pPr>
        <w:tabs>
          <w:tab w:val="right" w:pos="8497"/>
        </w:tabs>
        <w:ind w:firstLine="562" w:firstLineChars="200"/>
        <w:rPr>
          <w:rFonts w:hint="default" w:ascii="Times New Roman" w:hAnsi="Times New Roman" w:eastAsia="楷体_GB2312" w:cs="Times New Roman"/>
          <w:b/>
          <w:bCs/>
          <w:snapToGrid w:val="0"/>
          <w:color w:val="000000"/>
          <w:kern w:val="0"/>
          <w:sz w:val="28"/>
          <w:szCs w:val="28"/>
        </w:rPr>
      </w:pPr>
      <w:r>
        <w:rPr>
          <w:rFonts w:hint="default" w:ascii="Times New Roman" w:hAnsi="Times New Roman" w:eastAsia="楷体_GB2312" w:cs="Times New Roman"/>
          <w:b/>
          <w:snapToGrid w:val="0"/>
          <w:color w:val="000000"/>
          <w:kern w:val="0"/>
          <w:sz w:val="28"/>
          <w:szCs w:val="28"/>
        </w:rPr>
        <w:t>包头职业技术学院            科研处</w:t>
      </w:r>
      <w:r>
        <w:rPr>
          <w:rFonts w:hint="default" w:ascii="Times New Roman" w:hAnsi="Times New Roman" w:eastAsia="楷体_GB2312" w:cs="Times New Roman"/>
          <w:b/>
          <w:bCs/>
          <w:snapToGrid w:val="0"/>
          <w:color w:val="000000"/>
          <w:kern w:val="0"/>
          <w:sz w:val="28"/>
          <w:szCs w:val="28"/>
        </w:rPr>
        <w:t xml:space="preserve">          </w:t>
      </w:r>
      <w:r>
        <w:rPr>
          <w:rFonts w:hint="default" w:ascii="Times New Roman" w:hAnsi="Times New Roman" w:eastAsia="楷体_GB2312" w:cs="Times New Roman"/>
          <w:b/>
          <w:snapToGrid w:val="0"/>
          <w:color w:val="000000"/>
          <w:kern w:val="0"/>
          <w:sz w:val="28"/>
          <w:szCs w:val="28"/>
        </w:rPr>
        <w:t>2023年</w:t>
      </w:r>
      <w:r>
        <w:rPr>
          <w:rFonts w:hint="eastAsia" w:eastAsia="楷体_GB2312" w:cs="Times New Roman"/>
          <w:b/>
          <w:snapToGrid w:val="0"/>
          <w:color w:val="000000"/>
          <w:kern w:val="0"/>
          <w:sz w:val="28"/>
          <w:szCs w:val="28"/>
          <w:lang w:val="en-US" w:eastAsia="zh-CN"/>
        </w:rPr>
        <w:t>3</w:t>
      </w:r>
      <w:r>
        <w:rPr>
          <w:rFonts w:hint="default" w:ascii="Times New Roman" w:hAnsi="Times New Roman" w:eastAsia="楷体_GB2312" w:cs="Times New Roman"/>
          <w:b/>
          <w:snapToGrid w:val="0"/>
          <w:color w:val="000000"/>
          <w:kern w:val="0"/>
          <w:sz w:val="28"/>
          <w:szCs w:val="28"/>
        </w:rPr>
        <w:t>月</w:t>
      </w:r>
      <w:r>
        <w:rPr>
          <w:rFonts w:hint="eastAsia" w:eastAsia="楷体_GB2312" w:cs="Times New Roman"/>
          <w:b/>
          <w:snapToGrid w:val="0"/>
          <w:color w:val="000000"/>
          <w:kern w:val="0"/>
          <w:sz w:val="28"/>
          <w:szCs w:val="28"/>
          <w:lang w:val="en-US" w:eastAsia="zh-CN"/>
        </w:rPr>
        <w:t>6</w:t>
      </w:r>
      <w:r>
        <w:rPr>
          <w:rFonts w:hint="default" w:ascii="Times New Roman" w:hAnsi="Times New Roman" w:eastAsia="楷体_GB2312" w:cs="Times New Roman"/>
          <w:b/>
          <w:snapToGrid w:val="0"/>
          <w:color w:val="000000"/>
          <w:kern w:val="0"/>
          <w:sz w:val="28"/>
          <w:szCs w:val="28"/>
        </w:rPr>
        <w:t xml:space="preserve"> 日</w:t>
      </w:r>
    </w:p>
    <w:p>
      <w:pPr>
        <w:ind w:firstLine="602" w:firstLineChars="200"/>
        <w:rPr>
          <w:rFonts w:hint="default" w:ascii="Times New Roman" w:hAnsi="Times New Roman" w:cs="Times New Roman"/>
          <w:snapToGrid w:val="0"/>
          <w:sz w:val="28"/>
          <w:szCs w:val="28"/>
        </w:rPr>
      </w:pPr>
      <w:r>
        <w:rPr>
          <w:rFonts w:hint="default" w:ascii="Times New Roman" w:hAnsi="Times New Roman" w:eastAsia="楷体_GB2312" w:cs="Times New Roman"/>
          <w:b/>
          <w:bCs/>
          <w:snapToGrid w:val="0"/>
          <w:color w:val="000000"/>
          <w:kern w:val="0"/>
          <w:sz w:val="30"/>
          <w:szCs w:val="3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141605</wp:posOffset>
                </wp:positionV>
                <wp:extent cx="6219825" cy="0"/>
                <wp:effectExtent l="0" t="19050" r="9525" b="19050"/>
                <wp:wrapNone/>
                <wp:docPr id="1" name="直线 2"/>
                <wp:cNvGraphicFramePr/>
                <a:graphic xmlns:a="http://schemas.openxmlformats.org/drawingml/2006/main">
                  <a:graphicData uri="http://schemas.microsoft.com/office/word/2010/wordprocessingShape">
                    <wps:wsp>
                      <wps:cNvCnPr/>
                      <wps:spPr>
                        <a:xfrm flipV="1">
                          <a:off x="0" y="0"/>
                          <a:ext cx="6219825" cy="0"/>
                        </a:xfrm>
                        <a:prstGeom prst="line">
                          <a:avLst/>
                        </a:prstGeom>
                        <a:ln w="38100" cap="flat" cmpd="thickThin">
                          <a:solidFill>
                            <a:srgbClr val="FF0000"/>
                          </a:solidFill>
                          <a:prstDash val="solid"/>
                          <a:headEnd type="none" w="med" len="med"/>
                          <a:tailEnd type="none" w="med" len="med"/>
                        </a:ln>
                      </wps:spPr>
                      <wps:bodyPr upright="1"/>
                    </wps:wsp>
                  </a:graphicData>
                </a:graphic>
              </wp:anchor>
            </w:drawing>
          </mc:Choice>
          <mc:Fallback>
            <w:pict>
              <v:line id="直线 2" o:spid="_x0000_s1026" o:spt="20" style="position:absolute;left:0pt;flip:y;margin-left:0pt;margin-top:11.15pt;height:0pt;width:489.75pt;z-index:251659264;mso-width-relative:page;mso-height-relative:page;" filled="f" stroked="t" coordsize="21600,21600" o:gfxdata="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EZjLynYAAAABgEAAA8AAAAAAAAAAQAgAAAAIgAAAGRycy9kb3ducmV2LnhtbFBL&#10;AQIUABQAAAAIAIdO4kCWHDsZ9gEAAOwDAAAOAAAAAAAAAAEAIAAAACcBAABkcnMvZTJvRG9jLnht&#10;bFBLBQYAAAAABgAGAFkBAACPBQAAAAA=&#10;">
                <v:fill on="f" focussize="0,0"/>
                <v:stroke weight="3pt" color="#FF0000" linestyle="thickThin" joinstyle="round"/>
                <v:imagedata o:title=""/>
                <o:lock v:ext="edit" aspectratio="f"/>
              </v:line>
            </w:pict>
          </mc:Fallback>
        </mc:AlternateContent>
      </w:r>
    </w:p>
    <w:p>
      <w:pPr>
        <w:ind w:firstLine="560" w:firstLineChars="200"/>
        <w:rPr>
          <w:rFonts w:hint="default" w:ascii="Times New Roman" w:hAnsi="Times New Roman" w:cs="Times New Roman"/>
          <w:color w:val="000000"/>
          <w:kern w:val="0"/>
          <w:sz w:val="28"/>
          <w:szCs w:val="28"/>
        </w:rPr>
      </w:pPr>
      <w:r>
        <w:rPr>
          <w:rFonts w:hint="default" w:ascii="Times New Roman" w:hAnsi="Times New Roman" w:cs="Times New Roman"/>
          <w:snapToGrid w:val="0"/>
          <w:sz w:val="28"/>
          <w:szCs w:val="28"/>
        </w:rPr>
        <w:t>【</w:t>
      </w:r>
      <w:r>
        <w:rPr>
          <w:rFonts w:hint="default" w:ascii="Times New Roman" w:hAnsi="Times New Roman" w:cs="Times New Roman"/>
          <w:b/>
          <w:bCs/>
          <w:snapToGrid w:val="0"/>
          <w:sz w:val="28"/>
          <w:szCs w:val="28"/>
        </w:rPr>
        <w:t>教科研成果</w:t>
      </w:r>
      <w:r>
        <w:rPr>
          <w:rFonts w:hint="default" w:ascii="Times New Roman" w:hAnsi="Times New Roman" w:cs="Times New Roman"/>
          <w:snapToGrid w:val="0"/>
          <w:sz w:val="28"/>
          <w:szCs w:val="28"/>
        </w:rPr>
        <w:t xml:space="preserve">】 </w:t>
      </w:r>
      <w:r>
        <w:rPr>
          <w:rFonts w:hint="default" w:ascii="Times New Roman" w:hAnsi="Times New Roman" w:cs="Times New Roman"/>
          <w:snapToGrid w:val="0"/>
          <w:color w:val="auto"/>
          <w:sz w:val="28"/>
          <w:szCs w:val="28"/>
        </w:rPr>
        <w:t>《包头市体育赛事品牌塑造与发展路径研究》</w:t>
      </w:r>
      <w:r>
        <w:rPr>
          <w:rFonts w:hint="default" w:ascii="Times New Roman" w:hAnsi="Times New Roman" w:cs="Times New Roman"/>
          <w:snapToGrid w:val="0"/>
          <w:color w:val="auto"/>
          <w:sz w:val="28"/>
          <w:szCs w:val="28"/>
          <w:lang w:val="en-US" w:eastAsia="zh-Hans"/>
        </w:rPr>
        <w:t>是</w:t>
      </w:r>
      <w:r>
        <w:rPr>
          <w:rFonts w:hint="default" w:ascii="Times New Roman" w:hAnsi="Times New Roman" w:cs="Times New Roman"/>
          <w:color w:val="auto"/>
          <w:kern w:val="0"/>
          <w:sz w:val="28"/>
          <w:szCs w:val="28"/>
        </w:rPr>
        <w:t>2022年度</w:t>
      </w:r>
      <w:r>
        <w:rPr>
          <w:rFonts w:hint="default" w:ascii="Times New Roman" w:hAnsi="Times New Roman" w:cs="Times New Roman"/>
          <w:color w:val="auto"/>
          <w:kern w:val="0"/>
          <w:sz w:val="28"/>
          <w:szCs w:val="28"/>
          <w:lang w:val="en-US" w:eastAsia="zh-Hans"/>
        </w:rPr>
        <w:t>包头市</w:t>
      </w:r>
      <w:r>
        <w:rPr>
          <w:rFonts w:hint="default" w:ascii="Times New Roman" w:hAnsi="Times New Roman" w:cs="Times New Roman"/>
          <w:color w:val="auto"/>
          <w:kern w:val="0"/>
          <w:sz w:val="28"/>
          <w:szCs w:val="28"/>
        </w:rPr>
        <w:t>哲学社会科学规划课题，结项</w:t>
      </w:r>
      <w:r>
        <w:rPr>
          <w:rFonts w:hint="default" w:ascii="Times New Roman" w:hAnsi="Times New Roman" w:cs="Times New Roman"/>
          <w:color w:val="auto"/>
          <w:kern w:val="0"/>
          <w:sz w:val="28"/>
          <w:szCs w:val="28"/>
          <w:lang w:val="en-US" w:eastAsia="zh-Hans"/>
        </w:rPr>
        <w:t>验收结果为良好</w:t>
      </w:r>
      <w:r>
        <w:rPr>
          <w:rFonts w:hint="default" w:ascii="Times New Roman" w:hAnsi="Times New Roman" w:cs="Times New Roman"/>
          <w:color w:val="auto"/>
          <w:kern w:val="0"/>
          <w:sz w:val="28"/>
          <w:szCs w:val="28"/>
        </w:rPr>
        <w:t>。</w:t>
      </w:r>
    </w:p>
    <w:p>
      <w:pPr>
        <w:ind w:firstLine="643" w:firstLineChars="200"/>
        <w:jc w:val="center"/>
        <w:rPr>
          <w:rFonts w:hint="default" w:ascii="Times New Roman" w:hAnsi="Times New Roman" w:cs="Times New Roman"/>
          <w:b/>
          <w:bCs/>
          <w:snapToGrid w:val="0"/>
          <w:sz w:val="32"/>
          <w:szCs w:val="32"/>
        </w:rPr>
      </w:pPr>
      <w:r>
        <w:rPr>
          <w:rFonts w:hint="default" w:ascii="Times New Roman" w:hAnsi="Times New Roman" w:eastAsia="黑体" w:cs="Times New Roman"/>
          <w:b/>
          <w:bCs/>
          <w:snapToGrid w:val="0"/>
          <w:sz w:val="32"/>
          <w:szCs w:val="32"/>
        </w:rPr>
        <w:t>《包头市体育赛事品牌塑造与发展路径研究》</w:t>
      </w:r>
    </w:p>
    <w:p>
      <w:pPr>
        <w:pStyle w:val="31"/>
        <w:spacing w:line="300" w:lineRule="auto"/>
        <w:ind w:firstLine="2520" w:firstLineChars="900"/>
        <w:jc w:val="both"/>
        <w:rPr>
          <w:rFonts w:hint="default" w:ascii="Times New Roman" w:hAnsi="Times New Roman" w:cs="Times New Roman"/>
          <w:color w:val="000000"/>
          <w:kern w:val="0"/>
          <w:sz w:val="28"/>
          <w:szCs w:val="28"/>
        </w:rPr>
      </w:pPr>
      <w:r>
        <w:rPr>
          <w:rFonts w:hint="default" w:ascii="Times New Roman" w:hAnsi="Times New Roman" w:cs="Times New Roman"/>
          <w:color w:val="000000"/>
          <w:kern w:val="0"/>
          <w:sz w:val="28"/>
          <w:szCs w:val="28"/>
        </w:rPr>
        <w:t>主要完成人和完成单位：</w:t>
      </w:r>
    </w:p>
    <w:p>
      <w:pPr>
        <w:pStyle w:val="31"/>
        <w:spacing w:line="300" w:lineRule="auto"/>
        <w:ind w:left="2514" w:leftChars="1197"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rPr>
        <w:t>包头职业技术学院：</w:t>
      </w:r>
      <w:r>
        <w:rPr>
          <w:rFonts w:hint="default" w:ascii="Times New Roman" w:hAnsi="Times New Roman" w:cs="Times New Roman"/>
          <w:sz w:val="28"/>
          <w:szCs w:val="28"/>
          <w:lang w:val="en-US" w:eastAsia="zh-Hans"/>
        </w:rPr>
        <w:t>郭利军</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eastAsia="zh-Hans"/>
        </w:rPr>
        <w:t>卢永波</w:t>
      </w:r>
      <w:r>
        <w:rPr>
          <w:rFonts w:hint="default" w:ascii="Times New Roman" w:hAnsi="Times New Roman" w:cs="Times New Roman"/>
          <w:sz w:val="28"/>
          <w:szCs w:val="28"/>
        </w:rPr>
        <w:t xml:space="preserve"> </w:t>
      </w:r>
      <w:r>
        <w:rPr>
          <w:rFonts w:hint="default" w:ascii="Times New Roman" w:hAnsi="Times New Roman" w:cs="Times New Roman"/>
          <w:sz w:val="28"/>
          <w:szCs w:val="28"/>
          <w:lang w:val="en-US" w:eastAsia="zh-Hans"/>
        </w:rPr>
        <w:t>杨玥</w:t>
      </w:r>
    </w:p>
    <w:p>
      <w:pPr>
        <w:pStyle w:val="31"/>
        <w:spacing w:line="300" w:lineRule="auto"/>
        <w:ind w:left="2514" w:leftChars="1197" w:firstLine="0" w:firstLineChars="0"/>
        <w:jc w:val="both"/>
        <w:rPr>
          <w:rFonts w:hint="default" w:ascii="Times New Roman" w:hAnsi="Times New Roman" w:cs="Times New Roman"/>
          <w:sz w:val="28"/>
          <w:szCs w:val="28"/>
        </w:rPr>
      </w:pPr>
      <w:r>
        <w:rPr>
          <w:rFonts w:hint="default" w:ascii="Times New Roman" w:hAnsi="Times New Roman" w:cs="Times New Roman"/>
          <w:sz w:val="28"/>
          <w:szCs w:val="28"/>
          <w:lang w:val="en-US" w:eastAsia="zh-Hans"/>
        </w:rPr>
        <w:t>上海体育学院</w:t>
      </w:r>
      <w:r>
        <w:rPr>
          <w:rFonts w:hint="default" w:ascii="Times New Roman" w:hAnsi="Times New Roman" w:cs="Times New Roman"/>
          <w:sz w:val="28"/>
          <w:szCs w:val="28"/>
        </w:rPr>
        <w:t>：</w:t>
      </w:r>
      <w:r>
        <w:rPr>
          <w:rFonts w:hint="default" w:ascii="Times New Roman" w:hAnsi="Times New Roman" w:cs="Times New Roman"/>
          <w:sz w:val="28"/>
          <w:szCs w:val="28"/>
          <w:lang w:val="en-US" w:eastAsia="zh-Hans"/>
        </w:rPr>
        <w:t>王晨曦</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cs="Times New Roman"/>
          <w:sz w:val="28"/>
          <w:szCs w:val="28"/>
        </w:rPr>
        <w:t>【</w:t>
      </w:r>
      <w:r>
        <w:rPr>
          <w:rFonts w:hint="default" w:ascii="Times New Roman" w:hAnsi="Times New Roman" w:eastAsia="宋体" w:cs="Times New Roman"/>
          <w:b/>
          <w:bCs/>
          <w:sz w:val="28"/>
          <w:szCs w:val="28"/>
          <w:lang w:val="en-US" w:eastAsia="zh-Hans"/>
        </w:rPr>
        <w:t>成果内容</w:t>
      </w:r>
      <w:r>
        <w:rPr>
          <w:rFonts w:hint="default" w:ascii="Times New Roman" w:hAnsi="Times New Roman" w:cs="Times New Roman"/>
          <w:sz w:val="28"/>
          <w:szCs w:val="28"/>
        </w:rPr>
        <w:t>】</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当前人民生活水平和质量普遍提高，特别是经历了新冠肺炎疫情的考验，人民群众对健康文明生活方式的追求将有力地促进体育事业的繁荣发展。包头市作为内蒙古最大的工业城市，全民健身运动是百姓生活的一道亮丽风景线，体育健身成为人民实现对美好生活向往的重要途径。本课题在梳理国内外文献的基础上，研究包头市体育赛事品牌塑造与发展路径。本课题在研究思路上，按照“赛事品牌塑造现状分析→赛事品牌塑造评价体系构建→赛事品牌塑造评价→建立赛事品牌塑造与发展路径”的技术路线开展研究，具体包括以下几部分内容：</w:t>
      </w:r>
    </w:p>
    <w:p>
      <w:pPr>
        <w:ind w:firstLine="562" w:firstLineChars="200"/>
        <w:rPr>
          <w:rFonts w:hint="default" w:ascii="Times New Roman" w:hAnsi="Times New Roman" w:eastAsia="宋体" w:cs="Times New Roman"/>
          <w:b/>
          <w:bCs/>
          <w:sz w:val="28"/>
          <w:szCs w:val="28"/>
          <w:lang w:val="en-US" w:eastAsia="zh-Hans"/>
        </w:rPr>
      </w:pPr>
      <w:r>
        <w:rPr>
          <w:rFonts w:hint="default" w:ascii="Times New Roman" w:hAnsi="Times New Roman" w:eastAsia="宋体" w:cs="Times New Roman"/>
          <w:b/>
          <w:bCs/>
          <w:sz w:val="28"/>
          <w:szCs w:val="28"/>
          <w:lang w:val="en-US" w:eastAsia="zh-CN"/>
        </w:rPr>
        <w:t>一、</w:t>
      </w:r>
      <w:r>
        <w:rPr>
          <w:rFonts w:hint="default" w:ascii="Times New Roman" w:hAnsi="Times New Roman" w:eastAsia="宋体" w:cs="Times New Roman"/>
          <w:b/>
          <w:bCs/>
          <w:sz w:val="28"/>
          <w:szCs w:val="28"/>
          <w:lang w:val="en-US" w:eastAsia="zh-Hans"/>
        </w:rPr>
        <w:t>包头市体育赛事品牌塑造现状分析</w:t>
      </w:r>
      <w:bookmarkStart w:id="0" w:name="_Toc1083891109"/>
    </w:p>
    <w:bookmarkEnd w:id="0"/>
    <w:p>
      <w:pPr>
        <w:ind w:firstLine="562" w:firstLineChars="200"/>
        <w:rPr>
          <w:rFonts w:hint="default" w:ascii="Times New Roman" w:hAnsi="Times New Roman" w:eastAsia="宋体" w:cs="Times New Roman"/>
          <w:b/>
          <w:bCs/>
          <w:sz w:val="28"/>
          <w:szCs w:val="28"/>
          <w:lang w:val="en-US" w:eastAsia="zh-Hans"/>
        </w:rPr>
      </w:pPr>
      <w:bookmarkStart w:id="1" w:name="_Toc513593696"/>
      <w:bookmarkStart w:id="2" w:name="_Toc1860317120"/>
      <w:bookmarkStart w:id="3" w:name="_Toc517970369"/>
      <w:r>
        <w:rPr>
          <w:rFonts w:hint="default" w:ascii="Times New Roman" w:hAnsi="Times New Roman" w:eastAsia="宋体" w:cs="Times New Roman"/>
          <w:b/>
          <w:bCs/>
          <w:sz w:val="28"/>
          <w:szCs w:val="28"/>
          <w:lang w:val="en-US" w:eastAsia="zh-Hans"/>
        </w:rPr>
        <w:t>（一）包头市体育赛事品牌识别分析</w:t>
      </w:r>
      <w:bookmarkEnd w:id="1"/>
    </w:p>
    <w:p>
      <w:pPr>
        <w:ind w:firstLine="560" w:firstLineChars="200"/>
        <w:rPr>
          <w:rFonts w:hint="default" w:ascii="Times New Roman" w:hAnsi="Times New Roman" w:eastAsia="宋体" w:cs="Times New Roman"/>
          <w:sz w:val="28"/>
          <w:szCs w:val="28"/>
          <w:lang w:val="en-US" w:eastAsia="zh-Hans"/>
        </w:rPr>
      </w:pPr>
      <w:bookmarkStart w:id="4" w:name="_Toc1232471379"/>
      <w:r>
        <w:rPr>
          <w:rFonts w:hint="default" w:ascii="Times New Roman" w:hAnsi="Times New Roman" w:eastAsia="宋体" w:cs="Times New Roman"/>
          <w:sz w:val="28"/>
          <w:szCs w:val="28"/>
          <w:lang w:val="en-US" w:eastAsia="zh-Hans"/>
        </w:rPr>
        <w:t>1. 赛事名称</w:t>
      </w:r>
      <w:bookmarkEnd w:id="4"/>
      <w:r>
        <w:rPr>
          <w:rFonts w:hint="default" w:ascii="Times New Roman" w:hAnsi="Times New Roman" w:eastAsia="宋体" w:cs="Times New Roman"/>
          <w:sz w:val="28"/>
          <w:szCs w:val="28"/>
          <w:lang w:val="en-US" w:eastAsia="zh-Hans"/>
        </w:rPr>
        <w:t>。赛事名称在竞赛表演业中起着重要的作用，是观众首先接触到关于赛事的事物，可以直接影响赛事的传播效果。包头市十四运是新冠肺炎疫情发生以来，包头是举办的最大规模的综合性体育赛事。包头十四运的赛事名称是包头市第十四届运动会。图1是赛事观众对包头市十四运赛事名称的了解情况，通过调查研究，对包头十四运赛事名称非常了解的占27%，基本了解的占44%，“一般”的占16%，不了解的占13%。可以看出观众对包头十四运的赛事名称是了解的。</w:t>
      </w:r>
    </w:p>
    <w:p>
      <w:pPr>
        <w:pStyle w:val="33"/>
        <w:keepNext w:val="0"/>
        <w:keepLines w:val="0"/>
        <w:pageBreakBefore w:val="0"/>
        <w:widowControl w:val="0"/>
        <w:kinsoku/>
        <w:wordWrap/>
        <w:overflowPunct/>
        <w:topLinePunct w:val="0"/>
        <w:autoSpaceDE/>
        <w:autoSpaceDN/>
        <w:bidi w:val="0"/>
        <w:adjustRightInd/>
        <w:snapToGrid/>
        <w:spacing w:after="0" w:afterLines="0"/>
        <w:textAlignment w:val="auto"/>
        <w:rPr>
          <w:rFonts w:hint="default" w:ascii="Times New Roman" w:hAnsi="Times New Roman" w:cs="Times New Roman"/>
          <w:sz w:val="24"/>
          <w:szCs w:val="32"/>
          <w:lang w:val="en-US" w:eastAsia="zh-Hans"/>
        </w:rPr>
      </w:pPr>
      <w:r>
        <w:rPr>
          <w:rFonts w:hint="default" w:ascii="Times New Roman" w:hAnsi="Times New Roman" w:cs="Times New Roman"/>
          <w:sz w:val="24"/>
          <w:szCs w:val="32"/>
          <w:lang w:val="en-US" w:eastAsia="zh-Hans"/>
        </w:rPr>
        <w:drawing>
          <wp:anchor distT="0" distB="0" distL="114300" distR="114300" simplePos="0" relativeHeight="251662336" behindDoc="0" locked="0" layoutInCell="1" allowOverlap="1">
            <wp:simplePos x="0" y="0"/>
            <wp:positionH relativeFrom="column">
              <wp:posOffset>939165</wp:posOffset>
            </wp:positionH>
            <wp:positionV relativeFrom="paragraph">
              <wp:posOffset>13335</wp:posOffset>
            </wp:positionV>
            <wp:extent cx="3581400" cy="1828800"/>
            <wp:effectExtent l="4445" t="4445" r="14605" b="14605"/>
            <wp:wrapTopAndBottom/>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Pr>
          <w:rFonts w:hint="default" w:ascii="Times New Roman" w:hAnsi="Times New Roman" w:cs="Times New Roman"/>
          <w:sz w:val="24"/>
          <w:szCs w:val="32"/>
          <w:lang w:val="en-US" w:eastAsia="zh-Hans"/>
        </w:rPr>
        <w:t>图1 包头十四运的赛事名称了解情况</w:t>
      </w:r>
    </w:p>
    <w:p>
      <w:pPr>
        <w:ind w:firstLine="560" w:firstLineChars="200"/>
        <w:rPr>
          <w:rFonts w:hint="default" w:ascii="Times New Roman" w:hAnsi="Times New Roman" w:eastAsia="宋体" w:cs="Times New Roman"/>
          <w:sz w:val="28"/>
          <w:szCs w:val="28"/>
          <w:lang w:val="en-US" w:eastAsia="zh-Hans"/>
        </w:rPr>
      </w:pPr>
      <w:bookmarkStart w:id="5" w:name="_Toc1666691538"/>
      <w:r>
        <w:rPr>
          <w:rFonts w:hint="default" w:ascii="Times New Roman" w:hAnsi="Times New Roman" w:eastAsia="宋体" w:cs="Times New Roman"/>
          <w:sz w:val="28"/>
          <w:szCs w:val="28"/>
          <w:lang w:val="en-US" w:eastAsia="zh-Hans"/>
        </w:rPr>
        <w:t>2. 赛事标志</w:t>
      </w:r>
      <w:bookmarkEnd w:id="5"/>
      <w:r>
        <w:rPr>
          <w:rFonts w:hint="default" w:ascii="Times New Roman" w:hAnsi="Times New Roman" w:eastAsia="宋体" w:cs="Times New Roman"/>
          <w:sz w:val="28"/>
          <w:szCs w:val="28"/>
          <w:lang w:val="en-US" w:eastAsia="zh-Hans"/>
        </w:rPr>
        <w:t xml:space="preserve">。品牌标志是易于识别的图形符号，用于标识公司，商业产品或任何公共或私人实体。这是在竞争激烈的世界中区分品牌的方法之一，其中充满了图形元素，这些图形元素能够吸引消费者的注意力。品牌标志通常是印刷字体，图形、符号和颜色的组合，它是图形元素，是品牌视觉识别的一部分。品牌标识是建立品牌的过程，更具体地说，这是公司设计的一种策略，可帮助人们快速识别其产品和组织，并为他们提供在竞争中选择其产品的理由。 </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图2是包头十四运的赛事标志，赛事整体输出视觉一白色基调，其中鹿代表包头市；14代表第十四届运动会。右下角是赛事名称。</w:t>
      </w:r>
    </w:p>
    <w:p>
      <w:pPr>
        <w:bidi w:val="0"/>
        <w:jc w:val="center"/>
        <w:rPr>
          <w:rFonts w:hint="default" w:ascii="Times New Roman" w:hAnsi="Times New Roman" w:cs="Times New Roman"/>
          <w:lang w:val="en-US" w:eastAsia="zh-Hans"/>
        </w:rPr>
      </w:pPr>
      <w:r>
        <w:rPr>
          <w:rFonts w:hint="default" w:ascii="Times New Roman" w:hAnsi="Times New Roman" w:cs="Times New Roman"/>
          <w:lang w:eastAsia="zh-Hans"/>
        </w:rPr>
        <w:drawing>
          <wp:inline distT="0" distB="0" distL="114300" distR="114300">
            <wp:extent cx="2482850" cy="2618105"/>
            <wp:effectExtent l="0" t="0" r="12700" b="10795"/>
            <wp:docPr id="4" name="图片 65" descr="WechatIMG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5" descr="WechatIMG78"/>
                    <pic:cNvPicPr>
                      <a:picLocks noChangeAspect="1"/>
                    </pic:cNvPicPr>
                  </pic:nvPicPr>
                  <pic:blipFill>
                    <a:blip r:embed="rId7"/>
                    <a:stretch>
                      <a:fillRect/>
                    </a:stretch>
                  </pic:blipFill>
                  <pic:spPr>
                    <a:xfrm>
                      <a:off x="0" y="0"/>
                      <a:ext cx="2482850" cy="2618105"/>
                    </a:xfrm>
                    <a:prstGeom prst="rect">
                      <a:avLst/>
                    </a:prstGeom>
                    <a:noFill/>
                    <a:ln>
                      <a:noFill/>
                    </a:ln>
                  </pic:spPr>
                </pic:pic>
              </a:graphicData>
            </a:graphic>
          </wp:inline>
        </w:drawing>
      </w:r>
    </w:p>
    <w:p>
      <w:pPr>
        <w:pStyle w:val="33"/>
        <w:keepNext w:val="0"/>
        <w:keepLines w:val="0"/>
        <w:pageBreakBefore w:val="0"/>
        <w:widowControl w:val="0"/>
        <w:kinsoku/>
        <w:wordWrap/>
        <w:overflowPunct/>
        <w:topLinePunct w:val="0"/>
        <w:autoSpaceDE/>
        <w:autoSpaceDN/>
        <w:bidi w:val="0"/>
        <w:adjustRightInd/>
        <w:snapToGrid/>
        <w:spacing w:after="0" w:afterLines="0"/>
        <w:textAlignment w:val="auto"/>
        <w:rPr>
          <w:rFonts w:hint="default" w:ascii="Times New Roman" w:hAnsi="Times New Roman" w:cs="Times New Roman"/>
          <w:sz w:val="24"/>
          <w:szCs w:val="32"/>
          <w:lang w:val="en-US" w:eastAsia="zh-Hans"/>
        </w:rPr>
      </w:pPr>
      <w:r>
        <w:rPr>
          <w:rFonts w:hint="default" w:ascii="Times New Roman" w:hAnsi="Times New Roman" w:cs="Times New Roman"/>
          <w:sz w:val="24"/>
          <w:szCs w:val="32"/>
          <w:lang w:val="en-US" w:eastAsia="zh-Hans"/>
        </w:rPr>
        <w:t>图</w:t>
      </w:r>
      <w:r>
        <w:rPr>
          <w:rFonts w:hint="default" w:ascii="Times New Roman" w:hAnsi="Times New Roman" w:cs="Times New Roman"/>
          <w:sz w:val="24"/>
          <w:szCs w:val="32"/>
          <w:lang w:eastAsia="zh-Hans"/>
        </w:rPr>
        <w:t xml:space="preserve">2 </w:t>
      </w:r>
      <w:r>
        <w:rPr>
          <w:rFonts w:hint="default" w:ascii="Times New Roman" w:hAnsi="Times New Roman" w:cs="Times New Roman"/>
          <w:sz w:val="24"/>
          <w:szCs w:val="32"/>
          <w:lang w:val="en-US" w:eastAsia="zh-Hans"/>
        </w:rPr>
        <w:t>包头市十四运赛事标志</w:t>
      </w:r>
    </w:p>
    <w:p>
      <w:pPr>
        <w:ind w:firstLine="560" w:firstLineChars="200"/>
        <w:rPr>
          <w:rFonts w:hint="default" w:ascii="Times New Roman" w:hAnsi="Times New Roman" w:cs="Times New Roman"/>
          <w:lang w:val="en-US" w:eastAsia="zh-Hans"/>
        </w:rPr>
      </w:pPr>
      <w:r>
        <w:rPr>
          <w:rFonts w:hint="default" w:ascii="Times New Roman" w:hAnsi="Times New Roman" w:eastAsia="宋体" w:cs="Times New Roman"/>
          <w:sz w:val="28"/>
          <w:szCs w:val="28"/>
          <w:lang w:val="en-US" w:eastAsia="zh-Hans"/>
        </w:rPr>
        <w:t>图3是观众对包头十四运赛事标志的了解情况：其中对包头十四运非常了解的占8%，基本了解的占29%，“一般”的占30%，不了解的占33%。这反映处观众对包头十四运的赛事标志设计的认同度不高，通过与观众交流得知，部分观众认为赛事标志设计突出包头特色不足，缺乏辨识度。赛事标志是赛事品牌建设中非常重要的一环，将会应用到赛事的各项宣传、物料运用等工作中，成为赛事形象的代表，给参赛选手和观众留下最直观的印象。</w:t>
      </w:r>
    </w:p>
    <w:p>
      <w:pPr>
        <w:widowControl w:val="0"/>
        <w:numPr>
          <w:ilvl w:val="0"/>
          <w:numId w:val="0"/>
        </w:numPr>
        <w:jc w:val="center"/>
        <w:rPr>
          <w:rFonts w:hint="default" w:ascii="Times New Roman" w:hAnsi="Times New Roman" w:cs="Times New Roman"/>
          <w:lang w:eastAsia="zh-Hans"/>
        </w:rPr>
      </w:pPr>
      <w:r>
        <w:rPr>
          <w:rFonts w:hint="default" w:ascii="Times New Roman" w:hAnsi="Times New Roman" w:cs="Times New Roman"/>
          <w:lang w:eastAsia="zh-Hans"/>
        </w:rPr>
        <w:drawing>
          <wp:inline distT="0" distB="0" distL="114300" distR="114300">
            <wp:extent cx="2838450" cy="2057400"/>
            <wp:effectExtent l="4445" t="4445" r="14605" b="1460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33"/>
        <w:keepNext w:val="0"/>
        <w:keepLines w:val="0"/>
        <w:pageBreakBefore w:val="0"/>
        <w:widowControl w:val="0"/>
        <w:kinsoku/>
        <w:wordWrap/>
        <w:overflowPunct/>
        <w:topLinePunct w:val="0"/>
        <w:autoSpaceDE/>
        <w:autoSpaceDN/>
        <w:bidi w:val="0"/>
        <w:adjustRightInd/>
        <w:snapToGrid/>
        <w:spacing w:after="0" w:afterLines="0"/>
        <w:textAlignment w:val="auto"/>
        <w:rPr>
          <w:rFonts w:hint="default" w:ascii="Times New Roman" w:hAnsi="Times New Roman" w:cs="Times New Roman"/>
          <w:lang w:val="en-US" w:eastAsia="zh-Hans"/>
        </w:rPr>
      </w:pPr>
      <w:r>
        <w:rPr>
          <w:rFonts w:hint="default" w:ascii="Times New Roman" w:hAnsi="Times New Roman" w:cs="Times New Roman"/>
          <w:lang w:val="en-US" w:eastAsia="zh-Hans"/>
        </w:rPr>
        <w:t>图</w:t>
      </w:r>
      <w:r>
        <w:rPr>
          <w:rFonts w:hint="default" w:ascii="Times New Roman" w:hAnsi="Times New Roman" w:cs="Times New Roman"/>
          <w:lang w:eastAsia="zh-Hans"/>
        </w:rPr>
        <w:t xml:space="preserve">3 </w:t>
      </w:r>
      <w:r>
        <w:rPr>
          <w:rFonts w:hint="default" w:ascii="Times New Roman" w:hAnsi="Times New Roman" w:cs="Times New Roman"/>
          <w:lang w:val="en-US" w:eastAsia="zh-Hans"/>
        </w:rPr>
        <w:t>包头十四运的赛事标志了解情况</w:t>
      </w:r>
    </w:p>
    <w:p>
      <w:pPr>
        <w:ind w:firstLine="562" w:firstLineChars="200"/>
        <w:rPr>
          <w:rFonts w:hint="default" w:ascii="Times New Roman" w:hAnsi="Times New Roman" w:eastAsia="宋体" w:cs="Times New Roman"/>
          <w:b/>
          <w:bCs/>
          <w:sz w:val="28"/>
          <w:szCs w:val="28"/>
          <w:lang w:val="en-US" w:eastAsia="zh-Hans"/>
        </w:rPr>
      </w:pPr>
      <w:bookmarkStart w:id="6" w:name="_Toc307987698"/>
      <w:r>
        <w:rPr>
          <w:rFonts w:hint="default" w:ascii="Times New Roman" w:hAnsi="Times New Roman" w:eastAsia="宋体" w:cs="Times New Roman"/>
          <w:b/>
          <w:bCs/>
          <w:sz w:val="28"/>
          <w:szCs w:val="28"/>
          <w:lang w:val="en-US" w:eastAsia="zh-Hans"/>
        </w:rPr>
        <w:t>（二）包头市体育赛事品牌定位分析</w:t>
      </w:r>
      <w:bookmarkEnd w:id="6"/>
    </w:p>
    <w:p>
      <w:pPr>
        <w:ind w:firstLine="560" w:firstLineChars="200"/>
        <w:rPr>
          <w:rFonts w:hint="default" w:ascii="Times New Roman" w:hAnsi="Times New Roman" w:eastAsia="宋体" w:cs="Times New Roman"/>
          <w:sz w:val="28"/>
          <w:szCs w:val="28"/>
          <w:lang w:val="en-US" w:eastAsia="zh-Hans"/>
        </w:rPr>
      </w:pPr>
      <w:bookmarkStart w:id="7" w:name="_Toc913651016"/>
      <w:r>
        <w:rPr>
          <w:rFonts w:hint="default" w:ascii="Times New Roman" w:hAnsi="Times New Roman" w:eastAsia="宋体" w:cs="Times New Roman"/>
          <w:sz w:val="28"/>
          <w:szCs w:val="28"/>
          <w:lang w:val="en-US" w:eastAsia="zh-Hans"/>
        </w:rPr>
        <w:t>1. 竞技性</w:t>
      </w:r>
      <w:bookmarkEnd w:id="7"/>
      <w:r>
        <w:rPr>
          <w:rFonts w:hint="default" w:ascii="Times New Roman" w:hAnsi="Times New Roman" w:eastAsia="宋体" w:cs="Times New Roman"/>
          <w:sz w:val="28"/>
          <w:szCs w:val="28"/>
          <w:lang w:val="en-US" w:eastAsia="zh-Hans"/>
        </w:rPr>
        <w:t>。竞技性是包头十四运的一个重要的属性。竞技是体育的本质特性，即对抗，拼搏，胜利。包头十四运注重参赛选手的综合能力、现场预判能力、分析反应能力，以及团队协作精神。包头十四运竞技体育组共设有田径、游泳、乒乓球</w:t>
      </w:r>
      <w:r>
        <w:rPr>
          <w:rFonts w:hint="default" w:ascii="Times New Roman" w:hAnsi="Times New Roman" w:eastAsia="宋体" w:cs="Times New Roman"/>
          <w:sz w:val="28"/>
          <w:szCs w:val="28"/>
          <w:lang w:val="en-US" w:eastAsia="zh-CN"/>
        </w:rPr>
        <w:t>等</w:t>
      </w:r>
      <w:r>
        <w:rPr>
          <w:rFonts w:hint="default" w:ascii="Times New Roman" w:hAnsi="Times New Roman" w:eastAsia="宋体" w:cs="Times New Roman"/>
          <w:sz w:val="28"/>
          <w:szCs w:val="28"/>
          <w:lang w:val="en-US" w:eastAsia="zh-Hans"/>
        </w:rPr>
        <w:t>13个大项、368个小项。</w:t>
      </w:r>
    </w:p>
    <w:p>
      <w:pPr>
        <w:ind w:firstLine="560" w:firstLineChars="200"/>
        <w:rPr>
          <w:rFonts w:hint="default" w:ascii="Times New Roman" w:hAnsi="Times New Roman" w:eastAsia="宋体" w:cs="Times New Roman"/>
          <w:sz w:val="28"/>
          <w:szCs w:val="28"/>
          <w:lang w:val="en-US" w:eastAsia="zh-Hans"/>
        </w:rPr>
      </w:pPr>
      <w:bookmarkStart w:id="8" w:name="_Toc1224549862"/>
      <w:r>
        <w:rPr>
          <w:rFonts w:hint="default" w:ascii="Times New Roman" w:hAnsi="Times New Roman" w:eastAsia="宋体" w:cs="Times New Roman"/>
          <w:sz w:val="28"/>
          <w:szCs w:val="28"/>
          <w:lang w:val="en-US" w:eastAsia="zh-Hans"/>
        </w:rPr>
        <w:t>2. 全民性</w:t>
      </w:r>
      <w:bookmarkEnd w:id="8"/>
      <w:r>
        <w:rPr>
          <w:rFonts w:hint="default" w:ascii="Times New Roman" w:hAnsi="Times New Roman" w:eastAsia="宋体" w:cs="Times New Roman"/>
          <w:sz w:val="28"/>
          <w:szCs w:val="28"/>
          <w:lang w:val="en-US" w:eastAsia="zh-Hans"/>
        </w:rPr>
        <w:t>。包头十四运群众体育组共设有足球、篮球、广场舞</w:t>
      </w:r>
      <w:r>
        <w:rPr>
          <w:rFonts w:hint="default" w:ascii="Times New Roman" w:hAnsi="Times New Roman" w:eastAsia="宋体" w:cs="Times New Roman"/>
          <w:sz w:val="28"/>
          <w:szCs w:val="28"/>
          <w:lang w:val="en-US" w:eastAsia="zh-CN"/>
        </w:rPr>
        <w:t>等</w:t>
      </w:r>
      <w:r>
        <w:rPr>
          <w:rFonts w:hint="default" w:ascii="Times New Roman" w:hAnsi="Times New Roman" w:eastAsia="宋体" w:cs="Times New Roman"/>
          <w:sz w:val="28"/>
          <w:szCs w:val="28"/>
          <w:lang w:val="en-US" w:eastAsia="zh-Hans"/>
        </w:rPr>
        <w:t>12个大项、55个小项。</w:t>
      </w:r>
      <w:r>
        <w:rPr>
          <w:rFonts w:hint="default" w:ascii="Times New Roman" w:hAnsi="Times New Roman" w:eastAsia="宋体" w:cs="Times New Roman"/>
          <w:sz w:val="28"/>
          <w:szCs w:val="28"/>
          <w:lang w:val="en-US" w:eastAsia="zh-CN"/>
        </w:rPr>
        <w:t>在</w:t>
      </w:r>
      <w:r>
        <w:rPr>
          <w:rFonts w:hint="default" w:ascii="Times New Roman" w:hAnsi="Times New Roman" w:eastAsia="宋体" w:cs="Times New Roman"/>
          <w:sz w:val="28"/>
          <w:szCs w:val="28"/>
          <w:lang w:val="en-US" w:eastAsia="zh-Hans"/>
        </w:rPr>
        <w:t>群众组</w:t>
      </w:r>
      <w:r>
        <w:rPr>
          <w:rFonts w:hint="default" w:ascii="Times New Roman" w:hAnsi="Times New Roman" w:eastAsia="宋体" w:cs="Times New Roman"/>
          <w:sz w:val="28"/>
          <w:szCs w:val="28"/>
          <w:lang w:val="en-US" w:eastAsia="zh-CN"/>
        </w:rPr>
        <w:t>的</w:t>
      </w:r>
      <w:r>
        <w:rPr>
          <w:rFonts w:hint="default" w:ascii="Times New Roman" w:hAnsi="Times New Roman" w:eastAsia="宋体" w:cs="Times New Roman"/>
          <w:sz w:val="28"/>
          <w:szCs w:val="28"/>
          <w:lang w:val="en-US" w:eastAsia="zh-Hans"/>
        </w:rPr>
        <w:t>比赛</w:t>
      </w:r>
      <w:r>
        <w:rPr>
          <w:rFonts w:hint="default" w:ascii="Times New Roman" w:hAnsi="Times New Roman" w:eastAsia="宋体" w:cs="Times New Roman"/>
          <w:sz w:val="28"/>
          <w:szCs w:val="28"/>
          <w:lang w:val="en-US" w:eastAsia="zh-CN"/>
        </w:rPr>
        <w:t>中，将</w:t>
      </w:r>
      <w:r>
        <w:rPr>
          <w:rFonts w:hint="default" w:ascii="Times New Roman" w:hAnsi="Times New Roman" w:eastAsia="宋体" w:cs="Times New Roman"/>
          <w:sz w:val="28"/>
          <w:szCs w:val="28"/>
          <w:lang w:val="en-US" w:eastAsia="zh-Hans"/>
        </w:rPr>
        <w:t>以人民为中心的思想</w:t>
      </w:r>
      <w:r>
        <w:rPr>
          <w:rFonts w:hint="default" w:ascii="Times New Roman" w:hAnsi="Times New Roman" w:eastAsia="宋体" w:cs="Times New Roman"/>
          <w:sz w:val="28"/>
          <w:szCs w:val="28"/>
          <w:lang w:val="en-US" w:eastAsia="zh-CN"/>
        </w:rPr>
        <w:t>贯穿始终</w:t>
      </w:r>
      <w:r>
        <w:rPr>
          <w:rFonts w:hint="default" w:ascii="Times New Roman" w:hAnsi="Times New Roman" w:eastAsia="宋体" w:cs="Times New Roman"/>
          <w:sz w:val="28"/>
          <w:szCs w:val="28"/>
          <w:lang w:val="en-US" w:eastAsia="zh-Hans"/>
        </w:rPr>
        <w:t>，让</w:t>
      </w:r>
      <w:r>
        <w:rPr>
          <w:rFonts w:hint="default" w:ascii="Times New Roman" w:hAnsi="Times New Roman" w:eastAsia="宋体" w:cs="Times New Roman"/>
          <w:sz w:val="28"/>
          <w:szCs w:val="28"/>
          <w:lang w:val="en-US" w:eastAsia="zh-CN"/>
        </w:rPr>
        <w:t>包头市的寻常百姓</w:t>
      </w:r>
      <w:r>
        <w:rPr>
          <w:rFonts w:hint="default" w:ascii="Times New Roman" w:hAnsi="Times New Roman" w:eastAsia="宋体" w:cs="Times New Roman"/>
          <w:sz w:val="28"/>
          <w:szCs w:val="28"/>
          <w:lang w:val="en-US" w:eastAsia="zh-Hans"/>
        </w:rPr>
        <w:t>成为</w:t>
      </w:r>
      <w:r>
        <w:rPr>
          <w:rFonts w:hint="default" w:ascii="Times New Roman" w:hAnsi="Times New Roman" w:eastAsia="宋体" w:cs="Times New Roman"/>
          <w:sz w:val="28"/>
          <w:szCs w:val="28"/>
          <w:lang w:val="en-US" w:eastAsia="zh-CN"/>
        </w:rPr>
        <w:t>此次</w:t>
      </w:r>
      <w:r>
        <w:rPr>
          <w:rFonts w:hint="default" w:ascii="Times New Roman" w:hAnsi="Times New Roman" w:eastAsia="宋体" w:cs="Times New Roman"/>
          <w:sz w:val="28"/>
          <w:szCs w:val="28"/>
          <w:lang w:val="en-US" w:eastAsia="zh-Hans"/>
        </w:rPr>
        <w:t>十四运</w:t>
      </w:r>
      <w:r>
        <w:rPr>
          <w:rFonts w:hint="default" w:ascii="Times New Roman" w:hAnsi="Times New Roman" w:eastAsia="宋体" w:cs="Times New Roman"/>
          <w:sz w:val="28"/>
          <w:szCs w:val="28"/>
          <w:lang w:val="en-US" w:eastAsia="zh-CN"/>
        </w:rPr>
        <w:t>的真正</w:t>
      </w:r>
      <w:r>
        <w:rPr>
          <w:rFonts w:hint="default" w:ascii="Times New Roman" w:hAnsi="Times New Roman" w:eastAsia="宋体" w:cs="Times New Roman"/>
          <w:sz w:val="28"/>
          <w:szCs w:val="28"/>
          <w:lang w:val="en-US" w:eastAsia="zh-Hans"/>
        </w:rPr>
        <w:t>主角，</w:t>
      </w:r>
      <w:r>
        <w:rPr>
          <w:rFonts w:hint="default" w:ascii="Times New Roman" w:hAnsi="Times New Roman" w:eastAsia="宋体" w:cs="Times New Roman"/>
          <w:sz w:val="28"/>
          <w:szCs w:val="28"/>
          <w:lang w:val="en-US" w:eastAsia="zh-CN"/>
        </w:rPr>
        <w:t>使得十四运真正</w:t>
      </w:r>
      <w:r>
        <w:rPr>
          <w:rFonts w:hint="default" w:ascii="Times New Roman" w:hAnsi="Times New Roman" w:eastAsia="宋体" w:cs="Times New Roman"/>
          <w:sz w:val="28"/>
          <w:szCs w:val="28"/>
          <w:lang w:val="en-US" w:eastAsia="zh-Hans"/>
        </w:rPr>
        <w:t>展现</w:t>
      </w:r>
      <w:r>
        <w:rPr>
          <w:rFonts w:hint="default" w:ascii="Times New Roman" w:hAnsi="Times New Roman" w:eastAsia="宋体" w:cs="Times New Roman"/>
          <w:sz w:val="28"/>
          <w:szCs w:val="28"/>
          <w:lang w:val="en-US" w:eastAsia="zh-CN"/>
        </w:rPr>
        <w:t>百姓</w:t>
      </w:r>
      <w:r>
        <w:rPr>
          <w:rFonts w:hint="default" w:ascii="Times New Roman" w:hAnsi="Times New Roman" w:eastAsia="宋体" w:cs="Times New Roman"/>
          <w:sz w:val="28"/>
          <w:szCs w:val="28"/>
          <w:lang w:val="en-US" w:eastAsia="zh-Hans"/>
        </w:rPr>
        <w:t>风采</w:t>
      </w:r>
      <w:r>
        <w:rPr>
          <w:rFonts w:hint="default" w:ascii="Times New Roman" w:hAnsi="Times New Roman" w:eastAsia="宋体" w:cs="Times New Roman"/>
          <w:sz w:val="28"/>
          <w:szCs w:val="28"/>
          <w:lang w:val="en-US" w:eastAsia="zh-CN"/>
        </w:rPr>
        <w:t>，让百姓</w:t>
      </w:r>
      <w:r>
        <w:rPr>
          <w:rFonts w:hint="default" w:ascii="Times New Roman" w:hAnsi="Times New Roman" w:eastAsia="宋体" w:cs="Times New Roman"/>
          <w:sz w:val="28"/>
          <w:szCs w:val="28"/>
          <w:lang w:val="en-US" w:eastAsia="zh-Hans"/>
        </w:rPr>
        <w:t>切磋技艺</w:t>
      </w:r>
      <w:r>
        <w:rPr>
          <w:rFonts w:hint="default" w:ascii="Times New Roman" w:hAnsi="Times New Roman" w:eastAsia="宋体" w:cs="Times New Roman"/>
          <w:sz w:val="28"/>
          <w:szCs w:val="28"/>
          <w:lang w:val="en-US" w:eastAsia="zh-CN"/>
        </w:rPr>
        <w:t>的同时</w:t>
      </w:r>
      <w:r>
        <w:rPr>
          <w:rFonts w:hint="default" w:ascii="Times New Roman" w:hAnsi="Times New Roman" w:eastAsia="宋体" w:cs="Times New Roman"/>
          <w:sz w:val="28"/>
          <w:szCs w:val="28"/>
          <w:lang w:val="en-US" w:eastAsia="zh-Hans"/>
        </w:rPr>
        <w:t>增进友谊</w:t>
      </w:r>
      <w:r>
        <w:rPr>
          <w:rFonts w:hint="default" w:ascii="Times New Roman" w:hAnsi="Times New Roman" w:eastAsia="宋体" w:cs="Times New Roman"/>
          <w:sz w:val="28"/>
          <w:szCs w:val="28"/>
          <w:lang w:val="en-US" w:eastAsia="zh-CN"/>
        </w:rPr>
        <w:t>。切实推动了全民健身运动的发展</w:t>
      </w:r>
      <w:r>
        <w:rPr>
          <w:rFonts w:hint="default" w:ascii="Times New Roman" w:hAnsi="Times New Roman" w:eastAsia="宋体" w:cs="Times New Roman"/>
          <w:sz w:val="28"/>
          <w:szCs w:val="28"/>
          <w:lang w:val="en-US" w:eastAsia="zh-Hans"/>
        </w:rPr>
        <w:t>，提高了人民群众的获得感和幸福感。</w:t>
      </w:r>
    </w:p>
    <w:p>
      <w:pPr>
        <w:ind w:firstLine="560" w:firstLineChars="200"/>
        <w:rPr>
          <w:rFonts w:hint="default" w:ascii="Times New Roman" w:hAnsi="Times New Roman" w:eastAsia="宋体" w:cs="Times New Roman"/>
          <w:sz w:val="28"/>
          <w:szCs w:val="28"/>
          <w:lang w:val="en-US" w:eastAsia="zh-Hans"/>
        </w:rPr>
      </w:pPr>
      <w:bookmarkStart w:id="9" w:name="_Toc1673741433"/>
      <w:r>
        <w:rPr>
          <w:rFonts w:hint="default" w:ascii="Times New Roman" w:hAnsi="Times New Roman" w:eastAsia="宋体" w:cs="Times New Roman"/>
          <w:sz w:val="28"/>
          <w:szCs w:val="28"/>
          <w:lang w:val="en-US" w:eastAsia="zh-Hans"/>
        </w:rPr>
        <w:t>3. 创新性</w:t>
      </w:r>
      <w:bookmarkEnd w:id="9"/>
      <w:r>
        <w:rPr>
          <w:rFonts w:hint="default" w:ascii="Times New Roman" w:hAnsi="Times New Roman" w:eastAsia="宋体" w:cs="Times New Roman"/>
          <w:sz w:val="28"/>
          <w:szCs w:val="28"/>
          <w:lang w:val="en-US" w:eastAsia="zh-Hans"/>
        </w:rPr>
        <w:t>。包头十四运在办赛思路上调整、在赛事组织上创新，将广场舞、健身气功、太极拳3个项目采取线上比赛的方式进行。</w:t>
      </w:r>
      <w:r>
        <w:rPr>
          <w:rFonts w:hint="default" w:ascii="Times New Roman" w:hAnsi="Times New Roman" w:eastAsia="宋体" w:cs="Times New Roman"/>
          <w:sz w:val="28"/>
          <w:szCs w:val="28"/>
          <w:lang w:val="en-US" w:eastAsia="zh-CN"/>
        </w:rPr>
        <w:t>结合包头市</w:t>
      </w:r>
      <w:r>
        <w:rPr>
          <w:rFonts w:hint="default" w:ascii="Times New Roman" w:hAnsi="Times New Roman" w:eastAsia="宋体" w:cs="Times New Roman"/>
          <w:sz w:val="28"/>
          <w:szCs w:val="28"/>
          <w:lang w:val="en-US" w:eastAsia="zh-Hans"/>
        </w:rPr>
        <w:t>疫情防控常态化</w:t>
      </w:r>
      <w:r>
        <w:rPr>
          <w:rFonts w:hint="default" w:ascii="Times New Roman" w:hAnsi="Times New Roman" w:eastAsia="宋体" w:cs="Times New Roman"/>
          <w:sz w:val="28"/>
          <w:szCs w:val="28"/>
          <w:lang w:val="en-US" w:eastAsia="zh-CN"/>
        </w:rPr>
        <w:t>以及综合考虑赛事受众，</w:t>
      </w:r>
      <w:r>
        <w:rPr>
          <w:rFonts w:hint="default" w:ascii="Times New Roman" w:hAnsi="Times New Roman" w:eastAsia="宋体" w:cs="Times New Roman"/>
          <w:sz w:val="28"/>
          <w:szCs w:val="28"/>
          <w:lang w:val="en-US" w:eastAsia="zh-Hans"/>
        </w:rPr>
        <w:t>赛事活动宣传</w:t>
      </w:r>
      <w:r>
        <w:rPr>
          <w:rFonts w:hint="default" w:ascii="Times New Roman" w:hAnsi="Times New Roman" w:eastAsia="宋体" w:cs="Times New Roman"/>
          <w:sz w:val="28"/>
          <w:szCs w:val="28"/>
          <w:lang w:val="en-US" w:eastAsia="zh-CN"/>
        </w:rPr>
        <w:t>方面</w:t>
      </w:r>
      <w:r>
        <w:rPr>
          <w:rFonts w:hint="default" w:ascii="Times New Roman" w:hAnsi="Times New Roman" w:eastAsia="宋体" w:cs="Times New Roman"/>
          <w:sz w:val="28"/>
          <w:szCs w:val="28"/>
          <w:lang w:val="en-US" w:eastAsia="zh-Hans"/>
        </w:rPr>
        <w:t>充分发挥“互联网+”的优势，积极通过各类媒体、单位微信公众号、微博、抖音等新媒体平台进行赛事宣传报道，特别是对部分</w:t>
      </w:r>
      <w:r>
        <w:rPr>
          <w:rFonts w:hint="default" w:ascii="Times New Roman" w:hAnsi="Times New Roman" w:eastAsia="宋体" w:cs="Times New Roman"/>
          <w:sz w:val="28"/>
          <w:szCs w:val="28"/>
          <w:lang w:val="en-US" w:eastAsia="zh-CN"/>
        </w:rPr>
        <w:t>特色</w:t>
      </w:r>
      <w:r>
        <w:rPr>
          <w:rFonts w:hint="default" w:ascii="Times New Roman" w:hAnsi="Times New Roman" w:eastAsia="宋体" w:cs="Times New Roman"/>
          <w:sz w:val="28"/>
          <w:szCs w:val="28"/>
          <w:lang w:val="en-US" w:eastAsia="zh-Hans"/>
        </w:rPr>
        <w:t>项目的比赛进行网络直播。极大提升了十四运赛事活动的关注度及影响力，营造了全民参与十四运的浓厚氛围。</w:t>
      </w:r>
    </w:p>
    <w:p>
      <w:pPr>
        <w:ind w:firstLine="562" w:firstLineChars="200"/>
        <w:rPr>
          <w:rFonts w:hint="default" w:ascii="Times New Roman" w:hAnsi="Times New Roman" w:eastAsia="宋体" w:cs="Times New Roman"/>
          <w:b/>
          <w:bCs/>
          <w:sz w:val="28"/>
          <w:szCs w:val="28"/>
          <w:lang w:val="en-US" w:eastAsia="zh-Hans"/>
        </w:rPr>
      </w:pPr>
      <w:r>
        <w:rPr>
          <w:rFonts w:hint="default" w:ascii="Times New Roman" w:hAnsi="Times New Roman" w:eastAsia="宋体" w:cs="Times New Roman"/>
          <w:b/>
          <w:bCs/>
          <w:sz w:val="28"/>
          <w:szCs w:val="28"/>
          <w:lang w:val="en-US" w:eastAsia="zh-CN"/>
        </w:rPr>
        <w:t>二</w:t>
      </w:r>
      <w:r>
        <w:rPr>
          <w:rFonts w:hint="default" w:ascii="Times New Roman" w:hAnsi="Times New Roman" w:eastAsia="宋体" w:cs="Times New Roman"/>
          <w:b/>
          <w:bCs/>
          <w:sz w:val="28"/>
          <w:szCs w:val="28"/>
          <w:lang w:val="en-US" w:eastAsia="zh-Hans"/>
        </w:rPr>
        <w:t>、包头市体育赛事品牌塑造评价体系构建</w:t>
      </w:r>
      <w:bookmarkEnd w:id="2"/>
      <w:bookmarkEnd w:id="3"/>
    </w:p>
    <w:p>
      <w:pPr>
        <w:ind w:firstLine="562" w:firstLineChars="200"/>
        <w:rPr>
          <w:rFonts w:hint="default" w:ascii="Times New Roman" w:hAnsi="Times New Roman" w:eastAsia="宋体" w:cs="Times New Roman"/>
          <w:b/>
          <w:bCs/>
          <w:sz w:val="28"/>
          <w:szCs w:val="28"/>
          <w:lang w:val="en-US" w:eastAsia="zh-Hans"/>
        </w:rPr>
      </w:pPr>
      <w:bookmarkStart w:id="10" w:name="_Toc1776770492"/>
      <w:r>
        <w:rPr>
          <w:rFonts w:hint="default" w:ascii="Times New Roman" w:hAnsi="Times New Roman" w:eastAsia="宋体" w:cs="Times New Roman"/>
          <w:b/>
          <w:bCs/>
          <w:sz w:val="28"/>
          <w:szCs w:val="28"/>
          <w:lang w:val="en-US" w:eastAsia="zh-Hans"/>
        </w:rPr>
        <w:t>（一）包头市体育赛事品牌塑造体系指标预选</w:t>
      </w:r>
      <w:bookmarkEnd w:id="10"/>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包头市体育赛事品牌塑造体系预选结合Aaker品牌资产五星概念模型以及包头市体育赛事的具体发展情况，参考体育赛事品牌评价的研究成果。</w:t>
      </w:r>
    </w:p>
    <w:p>
      <w:pPr>
        <w:ind w:firstLine="560" w:firstLineChars="200"/>
        <w:rPr>
          <w:rFonts w:hint="default" w:ascii="Times New Roman" w:hAnsi="Times New Roman" w:eastAsia="黑体" w:cs="Times New Roman"/>
          <w:sz w:val="24"/>
          <w:szCs w:val="22"/>
          <w:lang w:val="en-US" w:eastAsia="zh-Hans"/>
        </w:rPr>
      </w:pPr>
      <w:bookmarkStart w:id="11" w:name="_Toc472619837"/>
      <w:r>
        <w:rPr>
          <w:rFonts w:hint="default" w:ascii="Times New Roman" w:hAnsi="Times New Roman" w:eastAsia="宋体" w:cs="Times New Roman"/>
          <w:sz w:val="28"/>
          <w:szCs w:val="28"/>
          <w:lang w:val="en-US" w:eastAsia="zh-Hans"/>
        </w:rPr>
        <w:t>根据包头市体育赛事品牌塑造要素，选取了5个维度，分别是品牌知名度、品牌认知度、品牌联想度、品牌忠诚度和品牌美誉度。包头市体育赛事品牌塑造指标体系整体构想如表1所示。</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（二）指标的筛选与确立</w:t>
      </w:r>
      <w:bookmarkEnd w:id="11"/>
    </w:p>
    <w:p>
      <w:pPr>
        <w:ind w:firstLine="560" w:firstLineChars="200"/>
        <w:rPr>
          <w:rFonts w:hint="default" w:ascii="Times New Roman" w:hAnsi="Times New Roman" w:eastAsia="宋体" w:cs="Times New Roman"/>
          <w:sz w:val="28"/>
          <w:szCs w:val="28"/>
          <w:lang w:val="en-US" w:eastAsia="zh-Hans"/>
        </w:rPr>
      </w:pPr>
      <w:bookmarkStart w:id="12" w:name="_Toc1927073853"/>
      <w:r>
        <w:rPr>
          <w:rFonts w:hint="default" w:ascii="Times New Roman" w:hAnsi="Times New Roman" w:eastAsia="宋体" w:cs="Times New Roman"/>
          <w:sz w:val="28"/>
          <w:szCs w:val="28"/>
          <w:lang w:val="en-US" w:eastAsia="zh-Hans"/>
        </w:rPr>
        <w:t>1. 第一轮专家咨询结果与分析</w:t>
      </w:r>
      <w:bookmarkEnd w:id="12"/>
      <w:r>
        <w:rPr>
          <w:rFonts w:hint="default" w:ascii="Times New Roman" w:hAnsi="Times New Roman" w:eastAsia="宋体" w:cs="Times New Roman"/>
          <w:sz w:val="28"/>
          <w:szCs w:val="28"/>
          <w:lang w:val="en-US" w:eastAsia="zh-Hans"/>
        </w:rPr>
        <w:t>。在第一轮专家咨询中，将预选的指标分为“同意、不同意、修改及修改”建议三个选项请专家筛选并提出建议。当 6位（60%）以上专家表示“同意入选”，则该指标入选。在第一轮德尔菲专家咨询共邀请10位专家，包头市体育赛事品牌塑造指标体系专家咨询问卷采用单独发放，共发放10份，回收10份，其中有效问卷10份，有效回收率为100%。</w:t>
      </w: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val="en-US" w:eastAsia="zh-Hans"/>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eastAsia="zh-Hans"/>
        </w:rPr>
      </w:pPr>
      <w:r>
        <w:rPr>
          <w:rFonts w:hint="default" w:ascii="Times New Roman" w:hAnsi="Times New Roman" w:eastAsia="黑体" w:cs="Times New Roman"/>
          <w:sz w:val="24"/>
          <w:szCs w:val="22"/>
          <w:lang w:val="en-US" w:eastAsia="zh-Hans"/>
        </w:rPr>
        <w:t>表</w:t>
      </w:r>
      <w:r>
        <w:rPr>
          <w:rFonts w:hint="default" w:ascii="Times New Roman" w:hAnsi="Times New Roman" w:eastAsia="黑体" w:cs="Times New Roman"/>
          <w:sz w:val="24"/>
          <w:szCs w:val="22"/>
          <w:lang w:eastAsia="zh-Hans"/>
        </w:rPr>
        <w:t>1 包头市体育赛事品牌塑造指标体系整体构想</w:t>
      </w:r>
    </w:p>
    <w:tbl>
      <w:tblPr>
        <w:tblStyle w:val="14"/>
        <w:tblpPr w:leftFromText="180" w:rightFromText="180" w:vertAnchor="text" w:horzAnchor="page" w:tblpX="1372" w:tblpY="4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0"/>
        <w:gridCol w:w="6311"/>
        <w:gridCol w:w="1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03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sz w:val="24"/>
                <w:szCs w:val="24"/>
                <w:vertAlign w:val="baseline"/>
                <w:lang w:val="en-US" w:eastAsia="zh-Hans"/>
              </w:rPr>
              <w:t>层次</w:t>
            </w:r>
          </w:p>
        </w:tc>
        <w:tc>
          <w:tcPr>
            <w:tcW w:w="631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sz w:val="24"/>
                <w:szCs w:val="24"/>
                <w:vertAlign w:val="baseline"/>
                <w:lang w:val="en-US" w:eastAsia="zh-Hans"/>
              </w:rPr>
              <w:t>目的与内容</w:t>
            </w:r>
          </w:p>
        </w:tc>
        <w:tc>
          <w:tcPr>
            <w:tcW w:w="145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sz w:val="24"/>
                <w:szCs w:val="24"/>
                <w:vertAlign w:val="baseline"/>
                <w:lang w:val="en-US" w:eastAsia="zh-Hans"/>
              </w:rPr>
              <w:t>项目数量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03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val="en-US" w:eastAsia="zh-Hans"/>
              </w:rPr>
              <w:t>目标层</w:t>
            </w:r>
            <w:r>
              <w:rPr>
                <w:rFonts w:hint="default" w:ascii="Times New Roman" w:hAnsi="Times New Roman" w:cs="Times New Roman"/>
                <w:sz w:val="24"/>
                <w:szCs w:val="24"/>
                <w:vertAlign w:val="baseline"/>
                <w:lang w:eastAsia="zh-Hans"/>
              </w:rPr>
              <w:t>(M)</w:t>
            </w:r>
          </w:p>
        </w:tc>
        <w:tc>
          <w:tcPr>
            <w:tcW w:w="631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综合表达包头市体育赛事品牌塑造</w:t>
            </w:r>
            <w:r>
              <w:rPr>
                <w:rFonts w:hint="default" w:ascii="Times New Roman" w:hAnsi="Times New Roman" w:cs="Times New Roman"/>
                <w:sz w:val="24"/>
                <w:szCs w:val="24"/>
                <w:vertAlign w:val="baseline"/>
                <w:lang w:val="en-US" w:eastAsia="zh-Hans"/>
              </w:rPr>
              <w:t>情况</w:t>
            </w:r>
            <w:r>
              <w:rPr>
                <w:rFonts w:hint="default" w:ascii="Times New Roman" w:hAnsi="Times New Roman" w:cs="Times New Roman"/>
                <w:sz w:val="24"/>
                <w:szCs w:val="24"/>
                <w:vertAlign w:val="baseline"/>
                <w:lang w:eastAsia="zh-Hans"/>
              </w:rPr>
              <w:t>。</w:t>
            </w:r>
          </w:p>
        </w:tc>
        <w:tc>
          <w:tcPr>
            <w:tcW w:w="145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03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val="en-US" w:eastAsia="zh-Hans"/>
              </w:rPr>
              <w:t>准则层</w:t>
            </w:r>
            <w:r>
              <w:rPr>
                <w:rFonts w:hint="default" w:ascii="Times New Roman" w:hAnsi="Times New Roman" w:cs="Times New Roman"/>
                <w:sz w:val="24"/>
                <w:szCs w:val="24"/>
                <w:vertAlign w:val="baseline"/>
                <w:lang w:eastAsia="zh-Hans"/>
              </w:rPr>
              <w:t>(A)</w:t>
            </w:r>
          </w:p>
        </w:tc>
        <w:tc>
          <w:tcPr>
            <w:tcW w:w="631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val="en-US" w:eastAsia="zh-Hans"/>
              </w:rPr>
              <w:t>将目标层分为品牌知名度、品牌认知度、品牌联想度、品牌忠诚度和品牌美誉度</w:t>
            </w:r>
            <w:r>
              <w:rPr>
                <w:rFonts w:hint="default" w:ascii="Times New Roman" w:hAnsi="Times New Roman" w:cs="Times New Roman"/>
                <w:sz w:val="24"/>
                <w:szCs w:val="24"/>
                <w:vertAlign w:val="baseline"/>
                <w:lang w:eastAsia="zh-Hans"/>
              </w:rPr>
              <w:t>5</w:t>
            </w:r>
            <w:r>
              <w:rPr>
                <w:rFonts w:hint="default" w:ascii="Times New Roman" w:hAnsi="Times New Roman" w:cs="Times New Roman"/>
                <w:sz w:val="24"/>
                <w:szCs w:val="24"/>
                <w:vertAlign w:val="baseline"/>
                <w:lang w:val="en-US" w:eastAsia="zh-Hans"/>
              </w:rPr>
              <w:t>个维度</w:t>
            </w:r>
            <w:r>
              <w:rPr>
                <w:rFonts w:hint="default" w:ascii="Times New Roman" w:hAnsi="Times New Roman" w:cs="Times New Roman"/>
                <w:sz w:val="24"/>
                <w:szCs w:val="24"/>
                <w:vertAlign w:val="baseline"/>
                <w:lang w:eastAsia="zh-Hans"/>
              </w:rPr>
              <w:t>。</w:t>
            </w:r>
          </w:p>
        </w:tc>
        <w:tc>
          <w:tcPr>
            <w:tcW w:w="145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203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val="en-US" w:eastAsia="zh-Hans"/>
              </w:rPr>
              <w:t>要素层</w:t>
            </w:r>
            <w:r>
              <w:rPr>
                <w:rFonts w:hint="default" w:ascii="Times New Roman" w:hAnsi="Times New Roman" w:cs="Times New Roman"/>
                <w:sz w:val="24"/>
                <w:szCs w:val="24"/>
                <w:vertAlign w:val="baseline"/>
                <w:lang w:eastAsia="zh-Hans"/>
              </w:rPr>
              <w:t>(B)</w:t>
            </w:r>
          </w:p>
        </w:tc>
        <w:tc>
          <w:tcPr>
            <w:tcW w:w="631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对准则层的5个维度进一步细分。</w:t>
            </w:r>
          </w:p>
        </w:tc>
        <w:tc>
          <w:tcPr>
            <w:tcW w:w="145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030"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val="en-US" w:eastAsia="zh-Hans"/>
              </w:rPr>
              <w:t>指标层</w:t>
            </w:r>
            <w:r>
              <w:rPr>
                <w:rFonts w:hint="default" w:ascii="Times New Roman" w:hAnsi="Times New Roman" w:cs="Times New Roman"/>
                <w:sz w:val="24"/>
                <w:szCs w:val="24"/>
                <w:vertAlign w:val="baseline"/>
                <w:lang w:eastAsia="zh-Hans"/>
              </w:rPr>
              <w:t>(C)</w:t>
            </w:r>
          </w:p>
        </w:tc>
        <w:tc>
          <w:tcPr>
            <w:tcW w:w="6311"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具体表现要素层每一个领域之下的单个评价指标</w:t>
            </w:r>
          </w:p>
        </w:tc>
        <w:tc>
          <w:tcPr>
            <w:tcW w:w="1458" w:type="dxa"/>
            <w:vAlign w:val="center"/>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83</w:t>
            </w:r>
          </w:p>
        </w:tc>
      </w:tr>
    </w:tbl>
    <w:p>
      <w:pPr>
        <w:rPr>
          <w:rFonts w:hint="default" w:ascii="Times New Roman" w:hAnsi="Times New Roman" w:eastAsia="黑体" w:cs="Times New Roman"/>
          <w:sz w:val="24"/>
          <w:szCs w:val="22"/>
          <w:lang w:eastAsia="zh-Hans"/>
        </w:rPr>
      </w:pP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第一轮专家咨询结果：5个一级指标都得到专家的同意入选。12个二级指标专家意见是同意入选，B5赛事基础设施的专家意见是修改为赛事基础设施建设，B7赛事文化价值的专家意见是修改为B7赛事文化价值挖掘。根据专家咨询的意见将</w:t>
      </w:r>
      <w:r>
        <w:rPr>
          <w:rFonts w:hint="default" w:ascii="Times New Roman" w:hAnsi="Times New Roman" w:eastAsia="宋体" w:cs="Times New Roman"/>
          <w:sz w:val="28"/>
          <w:szCs w:val="28"/>
          <w:lang w:val="en-US" w:eastAsia="zh-CN"/>
        </w:rPr>
        <w:t>三级指标</w:t>
      </w:r>
      <w:r>
        <w:rPr>
          <w:rFonts w:hint="default" w:ascii="Times New Roman" w:hAnsi="Times New Roman" w:eastAsia="宋体" w:cs="Times New Roman"/>
          <w:sz w:val="28"/>
          <w:szCs w:val="28"/>
          <w:lang w:val="en-US" w:eastAsia="zh-Hans"/>
        </w:rPr>
        <w:t>C2准确定位赛事价值主张</w:t>
      </w:r>
      <w:r>
        <w:rPr>
          <w:rFonts w:hint="default" w:ascii="Times New Roman" w:hAnsi="Times New Roman" w:eastAsia="宋体" w:cs="Times New Roman"/>
          <w:sz w:val="28"/>
          <w:szCs w:val="28"/>
          <w:lang w:val="en-US" w:eastAsia="zh-CN"/>
        </w:rPr>
        <w:t>等</w:t>
      </w:r>
      <w:r>
        <w:rPr>
          <w:rFonts w:hint="default" w:ascii="Times New Roman" w:hAnsi="Times New Roman" w:eastAsia="宋体" w:cs="Times New Roman"/>
          <w:sz w:val="28"/>
          <w:szCs w:val="28"/>
          <w:lang w:val="en-US" w:eastAsia="zh-Hans"/>
        </w:rPr>
        <w:t>14个指标删除。将C66政府长期政策、资金扶持、C67社会资金持续投入合并为政府长期政策和社会资金投入；将C69与赛运动员对赛事的满意度、C70与赛裁判员对赛事的满意度、C71与赛教练员对赛事的满意度、C72主管部门对赛事的满意度合并为赛事相关利益方的满意度。</w:t>
      </w:r>
    </w:p>
    <w:p>
      <w:pPr>
        <w:ind w:firstLine="560" w:firstLineChars="200"/>
        <w:rPr>
          <w:rFonts w:hint="default" w:ascii="Times New Roman" w:hAnsi="Times New Roman" w:eastAsia="宋体" w:cs="Times New Roman"/>
          <w:sz w:val="28"/>
          <w:szCs w:val="28"/>
          <w:lang w:val="en-US" w:eastAsia="zh-Hans"/>
        </w:rPr>
      </w:pPr>
      <w:bookmarkStart w:id="13" w:name="_Toc2129366964"/>
      <w:r>
        <w:rPr>
          <w:rFonts w:hint="default" w:ascii="Times New Roman" w:hAnsi="Times New Roman" w:eastAsia="宋体" w:cs="Times New Roman"/>
          <w:sz w:val="28"/>
          <w:szCs w:val="28"/>
          <w:lang w:val="en-US" w:eastAsia="zh-Hans"/>
        </w:rPr>
        <w:t>2. 第二轮专家咨询结果。</w:t>
      </w:r>
      <w:bookmarkEnd w:id="13"/>
      <w:r>
        <w:rPr>
          <w:rFonts w:hint="default" w:ascii="Times New Roman" w:hAnsi="Times New Roman" w:eastAsia="宋体" w:cs="Times New Roman"/>
          <w:sz w:val="28"/>
          <w:szCs w:val="28"/>
          <w:lang w:val="en-US" w:eastAsia="zh-Hans"/>
        </w:rPr>
        <w:t>在第二轮专家咨询中，对每一个指标的合理性进行判断，分为非常合理、合理、一般、不合理和非常不合理，分别赋值9、7、5、3、1分。根据回收的专家问卷，运用SPSS23.0软件处理数据进行分析，同时了解专家对一级指标的熟悉程度和判断依据。将专家对每一个指标的“意见集中度”和“意见协调度”作为第</w:t>
      </w:r>
      <w:r>
        <w:rPr>
          <w:rFonts w:hint="default" w:ascii="Times New Roman" w:hAnsi="Times New Roman" w:eastAsia="宋体" w:cs="Times New Roman"/>
          <w:sz w:val="28"/>
          <w:szCs w:val="28"/>
          <w:lang w:val="en-US" w:eastAsia="zh-CN"/>
        </w:rPr>
        <w:t>二</w:t>
      </w:r>
      <w:r>
        <w:rPr>
          <w:rFonts w:hint="default" w:ascii="Times New Roman" w:hAnsi="Times New Roman" w:eastAsia="宋体" w:cs="Times New Roman"/>
          <w:sz w:val="28"/>
          <w:szCs w:val="28"/>
          <w:lang w:val="en-US" w:eastAsia="zh-Hans"/>
        </w:rPr>
        <w:t>轮的评选依据。“意见集中度”是每一个指标得分的算术平均值，把得分7.2分以上的指标作为入选指标。“意见协调度”用专家对每一个指标打分的变异系数（cv）表示，变异系数越小，表明专家们对该指标的协调程度越高，一般认为变异系数小于0.22的，认为该指标的专家意见协调程度是符合的。一级指标结果：一级指标的意见集中度均大于7.2，意见协调度均小于0.22，表明专家对一级指标都认可。二级指标结果：14个二级指标的意见集中度和意见协调度都在可选指标的要求内，表明专家对一级指标都认可。三级指标结果：C3清晰与个性化的赛事表现要素设计、C7严格的赛事品牌发展诊断、C12准确的项目推广国际角色定位、C24重视赛事营销信息管理、C26持续优化赛事开展环境、C30品牌承诺的体现与实行、C36认同赛事比赛的质量、C39对赛事管理方式创新的认可、C57赛事的级别与国际地位8个指标的意见集中度都小于7.2，意见协调度大于0.22，结合专家意见将以上8个指标删除。</w:t>
      </w:r>
    </w:p>
    <w:p>
      <w:pPr>
        <w:ind w:firstLine="560" w:firstLineChars="200"/>
        <w:rPr>
          <w:rFonts w:hint="default" w:ascii="Times New Roman" w:hAnsi="Times New Roman" w:eastAsia="宋体" w:cs="Times New Roman"/>
          <w:sz w:val="28"/>
          <w:szCs w:val="28"/>
          <w:lang w:val="en-US" w:eastAsia="zh-Hans"/>
        </w:rPr>
      </w:pPr>
      <w:bookmarkStart w:id="14" w:name="_Toc455586693"/>
      <w:r>
        <w:rPr>
          <w:rFonts w:hint="default" w:ascii="Times New Roman" w:hAnsi="Times New Roman" w:eastAsia="宋体" w:cs="Times New Roman"/>
          <w:sz w:val="28"/>
          <w:szCs w:val="28"/>
          <w:lang w:val="en-US" w:eastAsia="zh-Hans"/>
        </w:rPr>
        <w:t>3. 包头市体育赛事品牌塑造指标体系确立。</w:t>
      </w:r>
      <w:bookmarkEnd w:id="14"/>
      <w:r>
        <w:rPr>
          <w:rFonts w:hint="default" w:ascii="Times New Roman" w:hAnsi="Times New Roman" w:eastAsia="宋体" w:cs="Times New Roman"/>
          <w:sz w:val="28"/>
          <w:szCs w:val="28"/>
          <w:lang w:val="en-US" w:eastAsia="zh-Hans"/>
        </w:rPr>
        <w:t>经过两轮专家咨询，根据专家对指标的打分数据分析和专家提出的修改意见进行汇总，经过删除、合并和保留，最终确定了5个一级指标，14个二级指标和57个三级指标，构建了包头市体育赛事品牌塑造评价体系。</w:t>
      </w:r>
    </w:p>
    <w:p>
      <w:pPr>
        <w:ind w:firstLine="560" w:firstLineChars="200"/>
        <w:rPr>
          <w:rFonts w:hint="default" w:ascii="Times New Roman" w:hAnsi="Times New Roman" w:eastAsia="宋体" w:cs="Times New Roman"/>
          <w:sz w:val="28"/>
          <w:szCs w:val="28"/>
          <w:lang w:val="en-US" w:eastAsia="zh-Hans"/>
        </w:rPr>
      </w:pPr>
      <w:bookmarkStart w:id="15" w:name="_Toc1266347696"/>
      <w:r>
        <w:rPr>
          <w:rFonts w:hint="default" w:ascii="Times New Roman" w:hAnsi="Times New Roman" w:eastAsia="宋体" w:cs="Times New Roman"/>
          <w:sz w:val="28"/>
          <w:szCs w:val="28"/>
          <w:lang w:val="en-US" w:eastAsia="zh-Hans"/>
        </w:rPr>
        <w:t>（三）包头市体育赛事品牌塑造权重确定</w:t>
      </w:r>
      <w:bookmarkEnd w:id="15"/>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本研究将采用群决策层次分析法(G- AHP)确定指标权重。根据包头市体育赛事品牌塑造评价体系，向10位专家学者发放了权重计算的对比矩阵调查表，运用层次分析法计算出各个判断矩阵的最大特征根以及对应的特征向量，并检验了判断矩阵的一致性，计算得出了包头市体育赛事品牌塑造评价指标体系的权重表2。</w:t>
      </w: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val="en-US" w:eastAsia="zh-Hans"/>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val="en-US" w:eastAsia="zh-Hans"/>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val="en-US" w:eastAsia="zh-Hans"/>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val="en-US" w:eastAsia="zh-Hans"/>
        </w:rPr>
      </w:pPr>
    </w:p>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eastAsia="黑体" w:cs="Times New Roman"/>
          <w:sz w:val="24"/>
          <w:szCs w:val="22"/>
          <w:lang w:val="en-US" w:eastAsia="zh-Hans"/>
        </w:rPr>
      </w:pPr>
      <w:r>
        <w:rPr>
          <w:rFonts w:hint="default" w:ascii="Times New Roman" w:hAnsi="Times New Roman" w:eastAsia="黑体" w:cs="Times New Roman"/>
          <w:sz w:val="24"/>
          <w:szCs w:val="22"/>
          <w:lang w:val="en-US" w:eastAsia="zh-Hans"/>
        </w:rPr>
        <w:t>表</w:t>
      </w:r>
      <w:r>
        <w:rPr>
          <w:rFonts w:hint="default" w:ascii="Times New Roman" w:hAnsi="Times New Roman" w:eastAsia="黑体" w:cs="Times New Roman"/>
          <w:sz w:val="24"/>
          <w:szCs w:val="22"/>
          <w:lang w:val="en-US" w:eastAsia="zh-CN"/>
        </w:rPr>
        <w:t>2</w:t>
      </w:r>
      <w:r>
        <w:rPr>
          <w:rFonts w:hint="default" w:ascii="Times New Roman" w:hAnsi="Times New Roman" w:eastAsia="黑体" w:cs="Times New Roman"/>
          <w:sz w:val="24"/>
          <w:szCs w:val="22"/>
          <w:lang w:val="en-US" w:eastAsia="zh-Hans"/>
        </w:rPr>
        <w:t>包头市体育赛事品牌塑造评价指标体系的权重表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3"/>
        <w:gridCol w:w="2704"/>
        <w:gridCol w:w="5252"/>
        <w:gridCol w:w="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320" w:hRule="atLeast"/>
        </w:trPr>
        <w:tc>
          <w:tcPr>
            <w:tcW w:w="1903" w:type="dxa"/>
            <w:vAlign w:val="top"/>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olor w:val="auto"/>
                <w:sz w:val="24"/>
                <w:szCs w:val="24"/>
                <w:vertAlign w:val="baseline"/>
                <w:lang w:val="en-US" w:eastAsia="zh-Hans"/>
              </w:rPr>
            </w:pPr>
            <w:r>
              <w:rPr>
                <w:rFonts w:hint="default" w:ascii="Times New Roman" w:hAnsi="Times New Roman" w:cs="Times New Roman"/>
                <w:color w:val="auto"/>
                <w:sz w:val="24"/>
                <w:szCs w:val="24"/>
                <w:vertAlign w:val="baseline"/>
                <w:lang w:val="en-US" w:eastAsia="zh-Hans"/>
              </w:rPr>
              <w:t>一级指标</w:t>
            </w:r>
          </w:p>
        </w:tc>
        <w:tc>
          <w:tcPr>
            <w:tcW w:w="2704" w:type="dxa"/>
            <w:vAlign w:val="top"/>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olor w:val="auto"/>
                <w:sz w:val="24"/>
                <w:szCs w:val="24"/>
                <w:vertAlign w:val="baseline"/>
                <w:lang w:val="en-US" w:eastAsia="zh-Hans"/>
              </w:rPr>
            </w:pPr>
            <w:r>
              <w:rPr>
                <w:rFonts w:hint="default" w:ascii="Times New Roman" w:hAnsi="Times New Roman" w:cs="Times New Roman"/>
                <w:color w:val="auto"/>
                <w:sz w:val="24"/>
                <w:szCs w:val="24"/>
                <w:vertAlign w:val="baseline"/>
                <w:lang w:val="en-US" w:eastAsia="zh-Hans"/>
              </w:rPr>
              <w:t>二级指标</w:t>
            </w:r>
          </w:p>
        </w:tc>
        <w:tc>
          <w:tcPr>
            <w:tcW w:w="5252" w:type="dxa"/>
            <w:vAlign w:val="top"/>
          </w:tcPr>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color w:val="auto"/>
                <w:sz w:val="24"/>
                <w:szCs w:val="24"/>
                <w:vertAlign w:val="baseline"/>
                <w:lang w:val="en-US" w:eastAsia="zh-Hans"/>
              </w:rPr>
            </w:pPr>
            <w:r>
              <w:rPr>
                <w:rFonts w:hint="default" w:ascii="Times New Roman" w:hAnsi="Times New Roman" w:cs="Times New Roman"/>
                <w:color w:val="auto"/>
                <w:sz w:val="24"/>
                <w:szCs w:val="24"/>
                <w:vertAlign w:val="baseline"/>
                <w:lang w:val="en-US" w:eastAsia="zh-Hans"/>
              </w:rPr>
              <w:t>三级指标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6" w:hRule="atLeast"/>
        </w:trPr>
        <w:tc>
          <w:tcPr>
            <w:tcW w:w="1903"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r>
              <w:rPr>
                <w:rFonts w:hint="default" w:ascii="Times New Roman" w:hAnsi="Times New Roman" w:cs="Times New Roman"/>
                <w:color w:val="auto"/>
                <w:sz w:val="24"/>
                <w:szCs w:val="24"/>
                <w:vertAlign w:val="baseline"/>
                <w:lang w:eastAsia="zh-Hans"/>
              </w:rPr>
              <w:t>A1</w:t>
            </w:r>
            <w:r>
              <w:rPr>
                <w:rFonts w:hint="default" w:ascii="Times New Roman" w:hAnsi="Times New Roman" w:cs="Times New Roman"/>
                <w:color w:val="auto"/>
                <w:sz w:val="24"/>
                <w:szCs w:val="24"/>
                <w:vertAlign w:val="baseline"/>
                <w:lang w:val="en-US" w:eastAsia="zh-Hans"/>
              </w:rPr>
              <w:t>品牌知名度</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cs="Times New Roman"/>
                <w:color w:val="auto"/>
                <w:sz w:val="24"/>
                <w:szCs w:val="24"/>
                <w:vertAlign w:val="baseline"/>
                <w:lang w:eastAsia="zh-Hans"/>
              </w:rPr>
              <w:t>（0</w:t>
            </w:r>
            <w:r>
              <w:rPr>
                <w:rFonts w:hint="default" w:ascii="Times New Roman" w:hAnsi="Times New Roman" w:cs="Times New Roman"/>
                <w:color w:val="auto"/>
                <w:sz w:val="24"/>
                <w:szCs w:val="24"/>
                <w:vertAlign w:val="baseline"/>
                <w:lang w:val="en-US" w:eastAsia="zh-Hans"/>
              </w:rPr>
              <w:t>.</w:t>
            </w:r>
            <w:r>
              <w:rPr>
                <w:rFonts w:hint="default" w:ascii="Times New Roman" w:hAnsi="Times New Roman" w:cs="Times New Roman"/>
                <w:color w:val="auto"/>
                <w:sz w:val="24"/>
                <w:szCs w:val="24"/>
                <w:vertAlign w:val="baseline"/>
                <w:lang w:eastAsia="zh-Hans"/>
              </w:rPr>
              <w:t>3338）</w:t>
            </w: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spacing w:before="31" w:line="220" w:lineRule="auto"/>
              <w:ind w:left="0" w:leftChars="0" w:firstLine="0" w:firstLineChars="0"/>
              <w:textAlignment w:val="auto"/>
              <w:rPr>
                <w:rFonts w:hint="default" w:ascii="Times New Roman" w:hAnsi="Times New Roman" w:eastAsia="宋体" w:cs="Times New Roman"/>
                <w:color w:val="auto"/>
                <w:spacing w:val="-6"/>
                <w:sz w:val="24"/>
                <w:szCs w:val="24"/>
                <w:lang w:eastAsia="zh-Hans"/>
              </w:rPr>
            </w:pPr>
            <w:r>
              <w:rPr>
                <w:rFonts w:hint="default" w:ascii="Times New Roman" w:hAnsi="Times New Roman" w:eastAsia="宋体" w:cs="Times New Roman"/>
                <w:color w:val="auto"/>
                <w:spacing w:val="-8"/>
                <w:sz w:val="24"/>
                <w:szCs w:val="24"/>
              </w:rPr>
              <w:t>B1品</w:t>
            </w:r>
            <w:r>
              <w:rPr>
                <w:rFonts w:hint="default" w:ascii="Times New Roman" w:hAnsi="Times New Roman" w:eastAsia="宋体" w:cs="Times New Roman"/>
                <w:color w:val="auto"/>
                <w:spacing w:val="-6"/>
                <w:sz w:val="24"/>
                <w:szCs w:val="24"/>
              </w:rPr>
              <w:t>牌定位（0.3577）</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7" w:line="220"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pacing w:val="-1"/>
                <w:sz w:val="24"/>
                <w:szCs w:val="24"/>
              </w:rPr>
              <w:t xml:space="preserve">C1 </w:t>
            </w:r>
            <w:r>
              <w:rPr>
                <w:rFonts w:hint="default" w:ascii="Times New Roman" w:hAnsi="Times New Roman" w:eastAsia="宋体" w:cs="Times New Roman"/>
                <w:color w:val="auto"/>
                <w:spacing w:val="-1"/>
                <w:sz w:val="24"/>
                <w:szCs w:val="24"/>
              </w:rPr>
              <w:t>明确赛事</w:t>
            </w:r>
            <w:r>
              <w:rPr>
                <w:rFonts w:hint="default" w:ascii="Times New Roman" w:hAnsi="Times New Roman" w:eastAsia="宋体" w:cs="Times New Roman"/>
                <w:color w:val="auto"/>
                <w:spacing w:val="-1"/>
                <w:sz w:val="24"/>
                <w:szCs w:val="24"/>
                <w:lang w:val="en-US" w:eastAsia="zh-Hans"/>
              </w:rPr>
              <w:t>发展使命</w:t>
            </w:r>
            <w:r>
              <w:rPr>
                <w:rFonts w:hint="default" w:ascii="Times New Roman" w:hAnsi="Times New Roman" w:eastAsia="宋体" w:cs="Times New Roman"/>
                <w:color w:val="auto"/>
                <w:spacing w:val="-1"/>
                <w:sz w:val="24"/>
                <w:szCs w:val="24"/>
                <w:lang w:eastAsia="zh-Hans"/>
              </w:rPr>
              <w:t>（0.3342）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spacing w:before="74" w:line="219" w:lineRule="auto"/>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19"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z w:val="24"/>
                <w:szCs w:val="24"/>
              </w:rPr>
              <w:t>C2</w:t>
            </w:r>
            <w:r>
              <w:rPr>
                <w:rFonts w:hint="default" w:ascii="Times New Roman" w:hAnsi="Times New Roman" w:eastAsia="宋体" w:cs="Times New Roman"/>
                <w:color w:val="auto"/>
                <w:spacing w:val="-1"/>
                <w:sz w:val="24"/>
                <w:szCs w:val="24"/>
              </w:rPr>
              <w:t>完整、科学的</w:t>
            </w:r>
            <w:r>
              <w:rPr>
                <w:rFonts w:hint="default" w:ascii="Times New Roman" w:hAnsi="Times New Roman" w:eastAsia="宋体" w:cs="Times New Roman"/>
                <w:color w:val="auto"/>
                <w:sz w:val="24"/>
                <w:szCs w:val="24"/>
              </w:rPr>
              <w:t>赛事传播方式（</w:t>
            </w:r>
            <w:r>
              <w:rPr>
                <w:rFonts w:hint="default" w:ascii="Times New Roman" w:hAnsi="Times New Roman" w:eastAsia="宋体" w:cs="Times New Roman"/>
                <w:color w:val="auto"/>
                <w:spacing w:val="-1"/>
                <w:sz w:val="24"/>
                <w:szCs w:val="24"/>
                <w:lang w:eastAsia="zh-Hans"/>
              </w:rPr>
              <w:t>0.3082</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spacing w:before="73" w:line="220" w:lineRule="auto"/>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pacing w:val="-9"/>
                <w:sz w:val="24"/>
                <w:szCs w:val="24"/>
              </w:rPr>
              <w:t>C3</w:t>
            </w:r>
            <w:r>
              <w:rPr>
                <w:rFonts w:hint="default" w:ascii="Times New Roman" w:hAnsi="Times New Roman" w:eastAsia="宋体" w:cs="Times New Roman"/>
                <w:color w:val="auto"/>
                <w:spacing w:val="-9"/>
                <w:sz w:val="24"/>
                <w:szCs w:val="24"/>
              </w:rPr>
              <w:t>立足于融合区域特色历史文化背景（</w:t>
            </w:r>
            <w:r>
              <w:rPr>
                <w:rFonts w:hint="default" w:ascii="Times New Roman" w:hAnsi="Times New Roman" w:eastAsia="宋体" w:cs="Times New Roman"/>
                <w:color w:val="auto"/>
                <w:spacing w:val="-1"/>
                <w:sz w:val="24"/>
                <w:szCs w:val="24"/>
                <w:lang w:eastAsia="zh-Hans"/>
              </w:rPr>
              <w:t>0.3576</w:t>
            </w:r>
            <w:r>
              <w:rPr>
                <w:rFonts w:hint="default" w:ascii="Times New Roman" w:hAnsi="Times New Roman" w:eastAsia="宋体" w:cs="Times New Roman"/>
                <w:color w:val="auto"/>
                <w:spacing w:val="-9"/>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spacing w:before="74" w:line="218" w:lineRule="auto"/>
              <w:ind w:left="0" w:leftChars="0" w:firstLine="0" w:firstLineChars="0"/>
              <w:textAlignment w:val="auto"/>
              <w:rPr>
                <w:rFonts w:hint="default" w:ascii="Times New Roman" w:hAnsi="Times New Roman" w:eastAsia="宋体" w:cs="Times New Roman"/>
                <w:color w:val="auto"/>
                <w:spacing w:val="-6"/>
                <w:sz w:val="24"/>
                <w:szCs w:val="24"/>
                <w:lang w:eastAsia="zh-Hans"/>
              </w:rPr>
            </w:pPr>
            <w:r>
              <w:rPr>
                <w:rFonts w:hint="default" w:ascii="Times New Roman" w:hAnsi="Times New Roman" w:eastAsia="宋体" w:cs="Times New Roman"/>
                <w:color w:val="auto"/>
                <w:spacing w:val="-8"/>
                <w:sz w:val="24"/>
                <w:szCs w:val="24"/>
              </w:rPr>
              <w:t>B2品</w:t>
            </w:r>
            <w:r>
              <w:rPr>
                <w:rFonts w:hint="default" w:ascii="Times New Roman" w:hAnsi="Times New Roman" w:eastAsia="宋体" w:cs="Times New Roman"/>
                <w:color w:val="auto"/>
                <w:spacing w:val="-6"/>
                <w:sz w:val="24"/>
                <w:szCs w:val="24"/>
              </w:rPr>
              <w:t>牌打造（0.1884）</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0" w:line="220"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z w:val="24"/>
                <w:szCs w:val="24"/>
              </w:rPr>
              <w:t>C4</w:t>
            </w:r>
            <w:r>
              <w:rPr>
                <w:rFonts w:hint="default" w:ascii="Times New Roman" w:hAnsi="Times New Roman" w:eastAsia="宋体" w:cs="Times New Roman"/>
                <w:color w:val="auto"/>
                <w:sz w:val="24"/>
                <w:szCs w:val="24"/>
              </w:rPr>
              <w:t>全面的赛事品牌建设战略（0.3658）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spacing w:before="74" w:line="220" w:lineRule="auto"/>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z w:val="24"/>
                <w:szCs w:val="24"/>
              </w:rPr>
              <w:t>C5</w:t>
            </w:r>
            <w:r>
              <w:rPr>
                <w:rFonts w:hint="default" w:ascii="Times New Roman" w:hAnsi="Times New Roman" w:eastAsia="宋体" w:cs="Times New Roman"/>
                <w:color w:val="auto"/>
                <w:sz w:val="24"/>
                <w:szCs w:val="24"/>
              </w:rPr>
              <w:t>规范的赛事品牌发展检视（0.2873）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8"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spacing w:before="77" w:line="220" w:lineRule="auto"/>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9" w:line="219"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z w:val="24"/>
                <w:szCs w:val="24"/>
              </w:rPr>
              <w:t>C6</w:t>
            </w:r>
            <w:r>
              <w:rPr>
                <w:rFonts w:hint="default" w:ascii="Times New Roman" w:hAnsi="Times New Roman" w:eastAsia="宋体" w:cs="Times New Roman"/>
                <w:color w:val="auto"/>
                <w:sz w:val="24"/>
                <w:szCs w:val="24"/>
              </w:rPr>
              <w:t>科学的赛事品牌发展升级（0.1718）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8"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spacing w:before="79" w:line="220" w:lineRule="auto"/>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9" w:line="220"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z w:val="24"/>
                <w:szCs w:val="24"/>
              </w:rPr>
              <w:t>C7</w:t>
            </w:r>
            <w:r>
              <w:rPr>
                <w:rFonts w:hint="default" w:ascii="Times New Roman" w:hAnsi="Times New Roman" w:eastAsia="宋体" w:cs="Times New Roman"/>
                <w:color w:val="auto"/>
                <w:sz w:val="24"/>
                <w:szCs w:val="24"/>
              </w:rPr>
              <w:t>有效的赛事品牌发展延伸（0.1751）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color w:val="auto"/>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spacing w:before="78" w:line="218" w:lineRule="auto"/>
              <w:ind w:left="0" w:leftChars="0" w:firstLine="0" w:firstLineChars="0"/>
              <w:textAlignment w:val="auto"/>
              <w:rPr>
                <w:rFonts w:hint="default" w:ascii="Times New Roman" w:hAnsi="Times New Roman" w:eastAsia="宋体" w:cs="Times New Roman"/>
                <w:color w:val="auto"/>
                <w:spacing w:val="-6"/>
                <w:sz w:val="24"/>
                <w:szCs w:val="24"/>
                <w:highlight w:val="none"/>
                <w:lang w:eastAsia="zh-Hans"/>
              </w:rPr>
            </w:pPr>
            <w:r>
              <w:rPr>
                <w:rFonts w:hint="default" w:ascii="Times New Roman" w:hAnsi="Times New Roman" w:eastAsia="宋体" w:cs="Times New Roman"/>
                <w:color w:val="auto"/>
                <w:spacing w:val="-8"/>
                <w:sz w:val="24"/>
                <w:szCs w:val="24"/>
                <w:highlight w:val="none"/>
              </w:rPr>
              <w:t>B3品</w:t>
            </w:r>
            <w:r>
              <w:rPr>
                <w:rFonts w:hint="default" w:ascii="Times New Roman" w:hAnsi="Times New Roman" w:eastAsia="宋体" w:cs="Times New Roman"/>
                <w:color w:val="auto"/>
                <w:spacing w:val="-6"/>
                <w:sz w:val="24"/>
                <w:szCs w:val="24"/>
                <w:highlight w:val="none"/>
              </w:rPr>
              <w:t>牌推广（</w:t>
            </w:r>
            <w:r>
              <w:rPr>
                <w:rFonts w:hint="default" w:ascii="Times New Roman" w:hAnsi="Times New Roman" w:eastAsia="宋体" w:cs="Times New Roman"/>
                <w:color w:val="auto"/>
                <w:spacing w:val="-6"/>
                <w:sz w:val="24"/>
                <w:szCs w:val="24"/>
              </w:rPr>
              <w:t>0.1914</w:t>
            </w:r>
            <w:r>
              <w:rPr>
                <w:rFonts w:hint="default" w:ascii="Times New Roman" w:hAnsi="Times New Roman" w:eastAsia="宋体" w:cs="Times New Roman"/>
                <w:color w:val="auto"/>
                <w:spacing w:val="-6"/>
                <w:sz w:val="24"/>
                <w:szCs w:val="24"/>
                <w:highlight w:val="none"/>
              </w:rPr>
              <w:t>）</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0" w:line="219" w:lineRule="auto"/>
              <w:ind w:left="0" w:leftChars="0" w:firstLine="0" w:firstLineChars="0"/>
              <w:textAlignment w:val="auto"/>
              <w:rPr>
                <w:rFonts w:hint="default" w:ascii="Times New Roman" w:hAnsi="Times New Roman" w:cs="Times New Roman"/>
                <w:color w:val="auto"/>
                <w:sz w:val="24"/>
                <w:szCs w:val="24"/>
                <w:vertAlign w:val="baseline"/>
                <w:lang w:eastAsia="zh-Hans"/>
              </w:rPr>
            </w:pPr>
            <w:r>
              <w:rPr>
                <w:rFonts w:hint="default" w:ascii="Times New Roman" w:hAnsi="Times New Roman" w:eastAsia="Times New Roman" w:cs="Times New Roman"/>
                <w:color w:val="auto"/>
                <w:sz w:val="24"/>
                <w:szCs w:val="24"/>
                <w:highlight w:val="none"/>
              </w:rPr>
              <w:t>C8</w:t>
            </w:r>
            <w:r>
              <w:rPr>
                <w:rFonts w:hint="default" w:ascii="Times New Roman" w:hAnsi="Times New Roman" w:eastAsia="宋体" w:cs="Times New Roman"/>
                <w:color w:val="auto"/>
                <w:sz w:val="24"/>
                <w:szCs w:val="24"/>
                <w:highlight w:val="none"/>
              </w:rPr>
              <w:t>科学的赛事品牌推广策略（0.3320）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spacing w:before="76" w:line="219" w:lineRule="auto"/>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0"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C9</w:t>
            </w:r>
            <w:r>
              <w:rPr>
                <w:rFonts w:hint="default" w:ascii="Times New Roman" w:hAnsi="Times New Roman" w:eastAsia="宋体" w:cs="Times New Roman"/>
                <w:color w:val="auto"/>
                <w:sz w:val="24"/>
                <w:szCs w:val="24"/>
                <w:highlight w:val="none"/>
              </w:rPr>
              <w:t>多元的赛事品牌推广渠道（0.1177）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0"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9"/>
                <w:sz w:val="24"/>
                <w:szCs w:val="24"/>
              </w:rPr>
              <w:t>C10</w:t>
            </w:r>
            <w:r>
              <w:rPr>
                <w:rFonts w:hint="default" w:ascii="Times New Roman" w:hAnsi="Times New Roman" w:eastAsia="宋体" w:cs="Times New Roman"/>
                <w:color w:val="auto"/>
                <w:spacing w:val="-9"/>
                <w:sz w:val="24"/>
                <w:szCs w:val="24"/>
              </w:rPr>
              <w:t>具备承办区域内重大赛事的能力（</w:t>
            </w:r>
            <w:r>
              <w:rPr>
                <w:rFonts w:hint="default" w:ascii="Times New Roman" w:hAnsi="Times New Roman" w:eastAsia="宋体" w:cs="Times New Roman"/>
                <w:color w:val="auto"/>
                <w:sz w:val="24"/>
                <w:szCs w:val="24"/>
                <w:highlight w:val="none"/>
              </w:rPr>
              <w:t>0.3230</w:t>
            </w:r>
            <w:r>
              <w:rPr>
                <w:rFonts w:hint="default" w:ascii="Times New Roman" w:hAnsi="Times New Roman" w:eastAsia="宋体" w:cs="Times New Roman"/>
                <w:color w:val="auto"/>
                <w:spacing w:val="-9"/>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3"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C11</w:t>
            </w:r>
            <w:r>
              <w:rPr>
                <w:rFonts w:hint="default" w:ascii="Times New Roman" w:hAnsi="Times New Roman" w:eastAsia="宋体" w:cs="Times New Roman"/>
                <w:color w:val="auto"/>
                <w:sz w:val="24"/>
                <w:szCs w:val="24"/>
              </w:rPr>
              <w:t>紧密结合地域特色推广（</w:t>
            </w:r>
            <w:r>
              <w:rPr>
                <w:rFonts w:hint="default" w:ascii="Times New Roman" w:hAnsi="Times New Roman" w:eastAsia="宋体" w:cs="Times New Roman"/>
                <w:color w:val="auto"/>
                <w:sz w:val="24"/>
                <w:szCs w:val="24"/>
                <w:highlight w:val="none"/>
              </w:rPr>
              <w:t>0.2273</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1"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6"/>
                <w:sz w:val="24"/>
                <w:szCs w:val="24"/>
                <w:lang w:eastAsia="zh-Hans"/>
              </w:rPr>
            </w:pPr>
            <w:r>
              <w:rPr>
                <w:rFonts w:hint="default" w:ascii="Times New Roman" w:hAnsi="Times New Roman" w:eastAsia="宋体" w:cs="Times New Roman"/>
                <w:color w:val="auto"/>
                <w:spacing w:val="-8"/>
                <w:sz w:val="24"/>
                <w:szCs w:val="24"/>
              </w:rPr>
              <w:t>B4品</w:t>
            </w:r>
            <w:r>
              <w:rPr>
                <w:rFonts w:hint="default" w:ascii="Times New Roman" w:hAnsi="Times New Roman" w:eastAsia="宋体" w:cs="Times New Roman"/>
                <w:color w:val="auto"/>
                <w:spacing w:val="-6"/>
                <w:sz w:val="24"/>
                <w:szCs w:val="24"/>
              </w:rPr>
              <w:t>牌传播（0.2624）</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2"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C12</w:t>
            </w:r>
            <w:r>
              <w:rPr>
                <w:rFonts w:hint="default" w:ascii="Times New Roman" w:hAnsi="Times New Roman" w:eastAsia="宋体" w:cs="Times New Roman"/>
                <w:color w:val="auto"/>
                <w:sz w:val="24"/>
                <w:szCs w:val="24"/>
              </w:rPr>
              <w:t>赛事参与媒体数量（0.2375）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0"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C13</w:t>
            </w:r>
            <w:r>
              <w:rPr>
                <w:rFonts w:hint="default" w:ascii="Times New Roman" w:hAnsi="Times New Roman" w:eastAsia="宋体" w:cs="Times New Roman"/>
                <w:color w:val="auto"/>
                <w:sz w:val="24"/>
                <w:szCs w:val="24"/>
              </w:rPr>
              <w:t>赛事参与媒体级别（0.1342）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18"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C14</w:t>
            </w:r>
            <w:r>
              <w:rPr>
                <w:rFonts w:hint="default" w:ascii="Times New Roman" w:hAnsi="Times New Roman" w:eastAsia="宋体" w:cs="Times New Roman"/>
                <w:color w:val="auto"/>
                <w:sz w:val="24"/>
                <w:szCs w:val="24"/>
              </w:rPr>
              <w:t>赛事广告市场曝光率（0.2589）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C15</w:t>
            </w:r>
            <w:r>
              <w:rPr>
                <w:rFonts w:hint="default" w:ascii="Times New Roman" w:hAnsi="Times New Roman" w:eastAsia="宋体" w:cs="Times New Roman"/>
                <w:color w:val="auto"/>
                <w:sz w:val="24"/>
                <w:szCs w:val="24"/>
              </w:rPr>
              <w:t>赛事赞助商的投入力度（0.3694）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color w:val="auto"/>
                <w:sz w:val="24"/>
                <w:szCs w:val="24"/>
                <w:vertAlign w:val="baseline"/>
                <w:lang w:eastAsia="zh-Hans"/>
              </w:rPr>
              <w:t>A2</w:t>
            </w:r>
            <w:r>
              <w:rPr>
                <w:rFonts w:hint="default" w:ascii="Times New Roman" w:hAnsi="Times New Roman" w:cs="Times New Roman"/>
                <w:sz w:val="24"/>
                <w:szCs w:val="24"/>
                <w:vertAlign w:val="baseline"/>
                <w:lang w:val="en-US" w:eastAsia="zh-Hans"/>
              </w:rPr>
              <w:t>品牌认知度</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（0</w:t>
            </w:r>
            <w:r>
              <w:rPr>
                <w:rFonts w:hint="default" w:ascii="Times New Roman" w:hAnsi="Times New Roman" w:cs="Times New Roman"/>
                <w:sz w:val="24"/>
                <w:szCs w:val="24"/>
                <w:vertAlign w:val="baseline"/>
                <w:lang w:val="en-US" w:eastAsia="zh-Hans"/>
              </w:rPr>
              <w:t>.</w:t>
            </w:r>
            <w:r>
              <w:rPr>
                <w:rFonts w:hint="default" w:ascii="Times New Roman" w:hAnsi="Times New Roman" w:cs="Times New Roman"/>
                <w:sz w:val="24"/>
                <w:szCs w:val="24"/>
                <w:vertAlign w:val="baseline"/>
                <w:lang w:eastAsia="zh-Hans"/>
              </w:rPr>
              <w:t>1082）</w:t>
            </w: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rPr>
            </w:pPr>
            <w:r>
              <w:rPr>
                <w:rFonts w:hint="default" w:ascii="Times New Roman" w:hAnsi="Times New Roman" w:eastAsia="宋体" w:cs="Times New Roman"/>
                <w:color w:val="auto"/>
                <w:spacing w:val="-2"/>
                <w:sz w:val="24"/>
                <w:szCs w:val="24"/>
              </w:rPr>
              <w:t>B5赛事基</w:t>
            </w:r>
            <w:r>
              <w:rPr>
                <w:rFonts w:hint="default" w:ascii="Times New Roman" w:hAnsi="Times New Roman" w:eastAsia="宋体" w:cs="Times New Roman"/>
                <w:color w:val="auto"/>
                <w:spacing w:val="-1"/>
                <w:sz w:val="24"/>
                <w:szCs w:val="24"/>
              </w:rPr>
              <w:t>础设施建设</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lang w:eastAsia="zh-Hans"/>
              </w:rPr>
            </w:pPr>
            <w:r>
              <w:rPr>
                <w:rFonts w:hint="default" w:ascii="Times New Roman" w:hAnsi="Times New Roman" w:eastAsia="宋体" w:cs="Times New Roman"/>
                <w:color w:val="auto"/>
                <w:spacing w:val="-1"/>
                <w:sz w:val="24"/>
                <w:szCs w:val="24"/>
              </w:rPr>
              <w:t>（0.2477）</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C16</w:t>
            </w:r>
            <w:r>
              <w:rPr>
                <w:rFonts w:hint="default" w:ascii="Times New Roman" w:hAnsi="Times New Roman" w:eastAsia="Times New Roman" w:cs="Times New Roman"/>
                <w:color w:val="auto"/>
                <w:spacing w:val="-1"/>
                <w:sz w:val="24"/>
                <w:szCs w:val="24"/>
              </w:rPr>
              <w:t xml:space="preserve"> </w:t>
            </w:r>
            <w:r>
              <w:rPr>
                <w:rFonts w:hint="default" w:ascii="Times New Roman" w:hAnsi="Times New Roman" w:eastAsia="宋体" w:cs="Times New Roman"/>
                <w:color w:val="auto"/>
                <w:spacing w:val="-1"/>
                <w:sz w:val="24"/>
                <w:szCs w:val="24"/>
              </w:rPr>
              <w:t>赛事基础设施结合地域文化</w:t>
            </w:r>
            <w:r>
              <w:rPr>
                <w:rFonts w:hint="default" w:ascii="Times New Roman" w:hAnsi="Times New Roman" w:eastAsia="宋体" w:cs="Times New Roman"/>
                <w:color w:val="auto"/>
                <w:sz w:val="24"/>
                <w:szCs w:val="24"/>
              </w:rPr>
              <w:t>（0.2090）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C17</w:t>
            </w:r>
            <w:r>
              <w:rPr>
                <w:rFonts w:hint="default" w:ascii="Times New Roman" w:hAnsi="Times New Roman" w:eastAsia="宋体" w:cs="Times New Roman"/>
                <w:color w:val="auto"/>
                <w:sz w:val="24"/>
                <w:szCs w:val="24"/>
              </w:rPr>
              <w:t>完善的赛事配套服务内容（0.1194）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C18</w:t>
            </w:r>
            <w:r>
              <w:rPr>
                <w:rFonts w:hint="default" w:ascii="Times New Roman" w:hAnsi="Times New Roman" w:eastAsia="宋体" w:cs="Times New Roman"/>
                <w:color w:val="auto"/>
                <w:sz w:val="24"/>
                <w:szCs w:val="24"/>
              </w:rPr>
              <w:t>科学化的赛道设计（0.3694）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C19</w:t>
            </w:r>
            <w:r>
              <w:rPr>
                <w:rFonts w:hint="default" w:ascii="Times New Roman" w:hAnsi="Times New Roman" w:eastAsia="宋体" w:cs="Times New Roman"/>
                <w:color w:val="auto"/>
                <w:sz w:val="24"/>
                <w:szCs w:val="24"/>
              </w:rPr>
              <w:t>个性化的视觉传达设计（0.3022）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4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rPr>
            </w:pPr>
            <w:r>
              <w:rPr>
                <w:rFonts w:hint="default" w:ascii="Times New Roman" w:hAnsi="Times New Roman" w:eastAsia="宋体" w:cs="Times New Roman"/>
                <w:color w:val="auto"/>
                <w:spacing w:val="-2"/>
                <w:sz w:val="24"/>
                <w:szCs w:val="24"/>
              </w:rPr>
              <w:t>B6赛事运营</w:t>
            </w:r>
            <w:r>
              <w:rPr>
                <w:rFonts w:hint="default" w:ascii="Times New Roman" w:hAnsi="Times New Roman" w:eastAsia="宋体" w:cs="Times New Roman"/>
                <w:color w:val="auto"/>
                <w:spacing w:val="-1"/>
                <w:sz w:val="24"/>
                <w:szCs w:val="24"/>
              </w:rPr>
              <w:t>管理</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lang w:eastAsia="zh-Hans"/>
              </w:rPr>
            </w:pPr>
            <w:r>
              <w:rPr>
                <w:rFonts w:hint="default" w:ascii="Times New Roman" w:hAnsi="Times New Roman" w:eastAsia="宋体" w:cs="Times New Roman"/>
                <w:color w:val="auto"/>
                <w:spacing w:val="-1"/>
                <w:sz w:val="24"/>
                <w:szCs w:val="24"/>
              </w:rPr>
              <w:t>（0.3189）</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2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C20</w:t>
            </w:r>
            <w:r>
              <w:rPr>
                <w:rFonts w:hint="default" w:ascii="Times New Roman" w:hAnsi="Times New Roman" w:eastAsia="宋体" w:cs="Times New Roman"/>
                <w:color w:val="auto"/>
                <w:sz w:val="24"/>
                <w:szCs w:val="24"/>
              </w:rPr>
              <w:t>完备的赛事组织实施过程（0.2323）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 xml:space="preserve">C21 </w:t>
            </w:r>
            <w:r>
              <w:rPr>
                <w:rFonts w:hint="default" w:ascii="Times New Roman" w:hAnsi="Times New Roman" w:eastAsia="宋体" w:cs="Times New Roman"/>
                <w:color w:val="auto"/>
                <w:sz w:val="24"/>
                <w:szCs w:val="24"/>
                <w:highlight w:val="none"/>
              </w:rPr>
              <w:t>完整的赛事市场营销内容体系（</w:t>
            </w:r>
            <w:r>
              <w:rPr>
                <w:rFonts w:hint="default" w:ascii="Times New Roman" w:hAnsi="Times New Roman" w:eastAsia="宋体" w:cs="Times New Roman"/>
                <w:color w:val="auto"/>
                <w:sz w:val="24"/>
                <w:szCs w:val="24"/>
              </w:rPr>
              <w:t>0.1711</w:t>
            </w:r>
            <w:r>
              <w:rPr>
                <w:rFonts w:hint="default" w:ascii="Times New Roman" w:hAnsi="Times New Roman" w:eastAsia="宋体" w:cs="Times New Roman"/>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C22</w:t>
            </w:r>
            <w:r>
              <w:rPr>
                <w:rFonts w:hint="default" w:ascii="Times New Roman" w:hAnsi="Times New Roman" w:eastAsia="宋体" w:cs="Times New Roman"/>
                <w:color w:val="auto"/>
                <w:sz w:val="24"/>
                <w:szCs w:val="24"/>
              </w:rPr>
              <w:t>完备的赛事后勤保障服务（0.1980）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C23</w:t>
            </w:r>
            <w:r>
              <w:rPr>
                <w:rFonts w:hint="default" w:ascii="Times New Roman" w:hAnsi="Times New Roman" w:eastAsia="宋体" w:cs="Times New Roman"/>
                <w:color w:val="auto"/>
                <w:spacing w:val="-1"/>
                <w:sz w:val="24"/>
                <w:szCs w:val="24"/>
              </w:rPr>
              <w:t>重视提升</w:t>
            </w:r>
            <w:r>
              <w:rPr>
                <w:rFonts w:hint="default" w:ascii="Times New Roman" w:hAnsi="Times New Roman" w:eastAsia="宋体" w:cs="Times New Roman"/>
                <w:color w:val="auto"/>
                <w:sz w:val="24"/>
                <w:szCs w:val="24"/>
              </w:rPr>
              <w:t>赛事体验感（0.2176）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8"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9"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C24</w:t>
            </w:r>
            <w:r>
              <w:rPr>
                <w:rFonts w:hint="default" w:ascii="Times New Roman" w:hAnsi="Times New Roman" w:eastAsia="宋体" w:cs="Times New Roman"/>
                <w:color w:val="auto"/>
                <w:sz w:val="24"/>
                <w:szCs w:val="24"/>
              </w:rPr>
              <w:t>全面的赛事风险管理（0.1809）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highlight w:val="none"/>
              </w:rPr>
            </w:pPr>
            <w:r>
              <w:rPr>
                <w:rFonts w:hint="default" w:ascii="Times New Roman" w:hAnsi="Times New Roman" w:eastAsia="宋体" w:cs="Times New Roman"/>
                <w:color w:val="auto"/>
                <w:spacing w:val="-2"/>
                <w:sz w:val="24"/>
                <w:szCs w:val="24"/>
                <w:highlight w:val="none"/>
              </w:rPr>
              <w:t>B7赛事文</w:t>
            </w:r>
            <w:r>
              <w:rPr>
                <w:rFonts w:hint="default" w:ascii="Times New Roman" w:hAnsi="Times New Roman" w:eastAsia="宋体" w:cs="Times New Roman"/>
                <w:color w:val="auto"/>
                <w:spacing w:val="-1"/>
                <w:sz w:val="24"/>
                <w:szCs w:val="24"/>
                <w:highlight w:val="none"/>
              </w:rPr>
              <w:t>化价值挖掘</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highlight w:val="none"/>
                <w:lang w:eastAsia="zh-Hans"/>
              </w:rPr>
            </w:pPr>
            <w:r>
              <w:rPr>
                <w:rFonts w:hint="default" w:ascii="Times New Roman" w:hAnsi="Times New Roman" w:eastAsia="宋体" w:cs="Times New Roman"/>
                <w:color w:val="auto"/>
                <w:spacing w:val="-1"/>
                <w:sz w:val="24"/>
                <w:szCs w:val="24"/>
                <w:highlight w:val="none"/>
              </w:rPr>
              <w:t>（</w:t>
            </w:r>
            <w:r>
              <w:rPr>
                <w:rFonts w:hint="default" w:ascii="Times New Roman" w:hAnsi="Times New Roman" w:eastAsia="宋体" w:cs="Times New Roman"/>
                <w:color w:val="auto"/>
                <w:spacing w:val="-1"/>
                <w:sz w:val="24"/>
                <w:szCs w:val="24"/>
              </w:rPr>
              <w:t>0.4234</w:t>
            </w:r>
            <w:r>
              <w:rPr>
                <w:rFonts w:hint="default" w:ascii="Times New Roman" w:hAnsi="Times New Roman" w:eastAsia="宋体" w:cs="Times New Roman"/>
                <w:color w:val="auto"/>
                <w:spacing w:val="-1"/>
                <w:sz w:val="24"/>
                <w:szCs w:val="24"/>
                <w:highlight w:val="none"/>
              </w:rPr>
              <w:t>）</w:t>
            </w: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C25</w:t>
            </w:r>
            <w:r>
              <w:rPr>
                <w:rFonts w:hint="default" w:ascii="Times New Roman" w:hAnsi="Times New Roman" w:eastAsia="宋体" w:cs="Times New Roman"/>
                <w:color w:val="auto"/>
                <w:sz w:val="24"/>
                <w:szCs w:val="24"/>
                <w:highlight w:val="none"/>
              </w:rPr>
              <w:t>视觉识别辅助的体现程度（0.3609）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18"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 xml:space="preserve">C26 </w:t>
            </w:r>
            <w:r>
              <w:rPr>
                <w:rFonts w:hint="default" w:ascii="Times New Roman" w:hAnsi="Times New Roman" w:eastAsia="宋体" w:cs="Times New Roman"/>
                <w:color w:val="auto"/>
                <w:sz w:val="24"/>
                <w:szCs w:val="24"/>
                <w:highlight w:val="none"/>
              </w:rPr>
              <w:t>品牌文化的表达与传播（0.2029）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18"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99"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 xml:space="preserve">C27 </w:t>
            </w:r>
            <w:r>
              <w:rPr>
                <w:rFonts w:hint="default" w:ascii="Times New Roman" w:hAnsi="Times New Roman" w:eastAsia="宋体" w:cs="Times New Roman"/>
                <w:color w:val="auto"/>
                <w:sz w:val="24"/>
                <w:szCs w:val="24"/>
              </w:rPr>
              <w:t>品牌体验的文化冲击感（</w:t>
            </w:r>
            <w:r>
              <w:rPr>
                <w:rFonts w:hint="default" w:ascii="Times New Roman" w:hAnsi="Times New Roman" w:eastAsia="宋体" w:cs="Times New Roman"/>
                <w:color w:val="auto"/>
                <w:sz w:val="24"/>
                <w:szCs w:val="24"/>
                <w:highlight w:val="none"/>
              </w:rPr>
              <w:t>0.1634</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0" w:type="dxa"/>
          <w:trHeight w:val="43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52" w:type="dxa"/>
            <w:vAlign w:val="top"/>
          </w:tcPr>
          <w:p>
            <w:pPr>
              <w:keepNext w:val="0"/>
              <w:keepLines w:val="0"/>
              <w:pageBreakBefore w:val="0"/>
              <w:widowControl w:val="0"/>
              <w:kinsoku/>
              <w:wordWrap/>
              <w:overflowPunct/>
              <w:topLinePunct w:val="0"/>
              <w:autoSpaceDE/>
              <w:autoSpaceDN/>
              <w:bidi w:val="0"/>
              <w:adjustRightInd/>
              <w:snapToGrid/>
              <w:spacing w:before="101" w:line="218"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C28</w:t>
            </w:r>
            <w:r>
              <w:rPr>
                <w:rFonts w:hint="default" w:ascii="Times New Roman" w:hAnsi="Times New Roman" w:eastAsia="宋体" w:cs="Times New Roman"/>
                <w:color w:val="auto"/>
                <w:sz w:val="24"/>
                <w:szCs w:val="24"/>
              </w:rPr>
              <w:t>品牌价值的深度与意蕴（</w:t>
            </w:r>
            <w:r>
              <w:rPr>
                <w:rFonts w:hint="default" w:ascii="Times New Roman" w:hAnsi="Times New Roman" w:eastAsia="宋体" w:cs="Times New Roman"/>
                <w:color w:val="auto"/>
                <w:sz w:val="24"/>
                <w:szCs w:val="24"/>
                <w:highlight w:val="none"/>
              </w:rPr>
              <w:t>0.2728</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903"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color w:val="auto"/>
                <w:sz w:val="24"/>
                <w:szCs w:val="24"/>
                <w:highlight w:val="none"/>
                <w:vertAlign w:val="baseline"/>
                <w:lang w:eastAsia="zh-Hans"/>
              </w:rPr>
              <w:t>A3</w:t>
            </w:r>
            <w:r>
              <w:rPr>
                <w:rFonts w:hint="default" w:ascii="Times New Roman" w:hAnsi="Times New Roman" w:cs="Times New Roman"/>
                <w:sz w:val="24"/>
                <w:szCs w:val="24"/>
                <w:vertAlign w:val="baseline"/>
                <w:lang w:val="en-US" w:eastAsia="zh-Hans"/>
              </w:rPr>
              <w:t>品牌联想度</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（0</w:t>
            </w:r>
            <w:r>
              <w:rPr>
                <w:rFonts w:hint="default" w:ascii="Times New Roman" w:hAnsi="Times New Roman" w:cs="Times New Roman"/>
                <w:sz w:val="24"/>
                <w:szCs w:val="24"/>
                <w:vertAlign w:val="baseline"/>
                <w:lang w:val="en-US" w:eastAsia="zh-Hans"/>
              </w:rPr>
              <w:t>.</w:t>
            </w:r>
            <w:r>
              <w:rPr>
                <w:rFonts w:hint="default" w:ascii="Times New Roman" w:hAnsi="Times New Roman" w:cs="Times New Roman"/>
                <w:sz w:val="24"/>
                <w:szCs w:val="24"/>
                <w:vertAlign w:val="baseline"/>
                <w:lang w:eastAsia="zh-Hans"/>
              </w:rPr>
              <w:t>2869）</w:t>
            </w: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7"/>
                <w:sz w:val="24"/>
                <w:szCs w:val="24"/>
                <w:highlight w:val="none"/>
                <w:lang w:eastAsia="zh-Hans"/>
              </w:rPr>
            </w:pPr>
            <w:r>
              <w:rPr>
                <w:rFonts w:hint="default" w:ascii="Times New Roman" w:hAnsi="Times New Roman" w:eastAsia="宋体" w:cs="Times New Roman"/>
                <w:color w:val="auto"/>
                <w:spacing w:val="-11"/>
                <w:sz w:val="24"/>
                <w:szCs w:val="24"/>
                <w:highlight w:val="none"/>
              </w:rPr>
              <w:t>B8比</w:t>
            </w:r>
            <w:r>
              <w:rPr>
                <w:rFonts w:hint="default" w:ascii="Times New Roman" w:hAnsi="Times New Roman" w:eastAsia="宋体" w:cs="Times New Roman"/>
                <w:color w:val="auto"/>
                <w:spacing w:val="-7"/>
                <w:sz w:val="24"/>
                <w:szCs w:val="24"/>
                <w:highlight w:val="none"/>
              </w:rPr>
              <w:t>赛过程（0.2632）</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C29</w:t>
            </w:r>
            <w:r>
              <w:rPr>
                <w:rFonts w:hint="default" w:ascii="Times New Roman" w:hAnsi="Times New Roman" w:eastAsia="宋体" w:cs="Times New Roman"/>
                <w:color w:val="auto"/>
                <w:spacing w:val="-1"/>
                <w:sz w:val="24"/>
                <w:szCs w:val="24"/>
                <w:highlight w:val="none"/>
              </w:rPr>
              <w:t>了解赛事参赛</w:t>
            </w:r>
            <w:r>
              <w:rPr>
                <w:rFonts w:hint="default" w:ascii="Times New Roman" w:hAnsi="Times New Roman" w:eastAsia="宋体" w:cs="Times New Roman"/>
                <w:color w:val="auto"/>
                <w:sz w:val="24"/>
                <w:szCs w:val="24"/>
                <w:highlight w:val="none"/>
              </w:rPr>
              <w:t>的人员组成（0.2871）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9"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C30</w:t>
            </w:r>
            <w:r>
              <w:rPr>
                <w:rFonts w:hint="default" w:ascii="Times New Roman" w:hAnsi="Times New Roman" w:eastAsia="宋体" w:cs="Times New Roman"/>
                <w:color w:val="auto"/>
                <w:sz w:val="24"/>
                <w:szCs w:val="24"/>
                <w:highlight w:val="none"/>
              </w:rPr>
              <w:t>了解项目竞赛的过程与特点（0.1285）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9" w:line="218"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C31</w:t>
            </w:r>
            <w:r>
              <w:rPr>
                <w:rFonts w:hint="default" w:ascii="Times New Roman" w:hAnsi="Times New Roman" w:eastAsia="宋体" w:cs="Times New Roman"/>
                <w:color w:val="auto"/>
                <w:sz w:val="24"/>
                <w:szCs w:val="24"/>
                <w:highlight w:val="none"/>
              </w:rPr>
              <w:t>认可赛事举办的综合价值（0.2644）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9"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 xml:space="preserve">C32 </w:t>
            </w:r>
            <w:r>
              <w:rPr>
                <w:rFonts w:hint="default" w:ascii="Times New Roman" w:hAnsi="Times New Roman" w:eastAsia="宋体" w:cs="Times New Roman"/>
                <w:color w:val="auto"/>
                <w:sz w:val="24"/>
                <w:szCs w:val="24"/>
              </w:rPr>
              <w:t>明确赛事举办的文化背景（</w:t>
            </w:r>
            <w:r>
              <w:rPr>
                <w:rFonts w:hint="default" w:ascii="Times New Roman" w:hAnsi="Times New Roman" w:eastAsia="宋体" w:cs="Times New Roman"/>
                <w:color w:val="auto"/>
                <w:sz w:val="24"/>
                <w:szCs w:val="24"/>
                <w:highlight w:val="none"/>
              </w:rPr>
              <w:t>0.3200</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2"/>
                <w:sz w:val="24"/>
                <w:szCs w:val="24"/>
                <w:highlight w:val="none"/>
                <w:lang w:eastAsia="zh-Hans"/>
              </w:rPr>
            </w:pPr>
            <w:r>
              <w:rPr>
                <w:rFonts w:hint="default" w:ascii="Times New Roman" w:hAnsi="Times New Roman" w:eastAsia="宋体" w:cs="Times New Roman"/>
                <w:color w:val="auto"/>
                <w:spacing w:val="-4"/>
                <w:sz w:val="24"/>
                <w:szCs w:val="24"/>
                <w:highlight w:val="none"/>
              </w:rPr>
              <w:t>B9赛</w:t>
            </w:r>
            <w:r>
              <w:rPr>
                <w:rFonts w:hint="default" w:ascii="Times New Roman" w:hAnsi="Times New Roman" w:eastAsia="宋体" w:cs="Times New Roman"/>
                <w:color w:val="auto"/>
                <w:spacing w:val="-2"/>
                <w:sz w:val="24"/>
                <w:szCs w:val="24"/>
                <w:highlight w:val="none"/>
              </w:rPr>
              <w:t>事组织（</w:t>
            </w:r>
            <w:r>
              <w:rPr>
                <w:rFonts w:hint="default" w:ascii="Times New Roman" w:hAnsi="Times New Roman" w:eastAsia="宋体" w:cs="Times New Roman"/>
                <w:color w:val="auto"/>
                <w:spacing w:val="-7"/>
                <w:sz w:val="24"/>
                <w:szCs w:val="24"/>
                <w:highlight w:val="none"/>
              </w:rPr>
              <w:t>0.3046</w:t>
            </w:r>
            <w:r>
              <w:rPr>
                <w:rFonts w:hint="default" w:ascii="Times New Roman" w:hAnsi="Times New Roman" w:eastAsia="宋体" w:cs="Times New Roman"/>
                <w:color w:val="auto"/>
                <w:spacing w:val="-2"/>
                <w:sz w:val="24"/>
                <w:szCs w:val="24"/>
                <w:highlight w:val="none"/>
              </w:rPr>
              <w:t>）</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0"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C33</w:t>
            </w:r>
            <w:r>
              <w:rPr>
                <w:rFonts w:hint="default" w:ascii="Times New Roman" w:hAnsi="Times New Roman" w:eastAsia="宋体" w:cs="Times New Roman"/>
                <w:color w:val="auto"/>
                <w:sz w:val="24"/>
                <w:szCs w:val="24"/>
                <w:highlight w:val="none"/>
              </w:rPr>
              <w:t>对赛事文化的认可度（0.2858）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C34</w:t>
            </w:r>
            <w:r>
              <w:rPr>
                <w:rFonts w:hint="default" w:ascii="Times New Roman" w:hAnsi="Times New Roman" w:eastAsia="宋体" w:cs="Times New Roman"/>
                <w:color w:val="auto"/>
                <w:sz w:val="24"/>
                <w:szCs w:val="24"/>
              </w:rPr>
              <w:t>对赛事未来规划的认可度（</w:t>
            </w:r>
            <w:r>
              <w:rPr>
                <w:rFonts w:hint="default" w:ascii="Times New Roman" w:hAnsi="Times New Roman" w:eastAsia="宋体" w:cs="Times New Roman"/>
                <w:color w:val="auto"/>
                <w:sz w:val="24"/>
                <w:szCs w:val="24"/>
                <w:highlight w:val="none"/>
              </w:rPr>
              <w:t>0.1453</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18"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C35</w:t>
            </w:r>
            <w:r>
              <w:rPr>
                <w:rFonts w:hint="default" w:ascii="Times New Roman" w:hAnsi="Times New Roman" w:eastAsia="宋体" w:cs="Times New Roman"/>
                <w:color w:val="auto"/>
                <w:sz w:val="24"/>
                <w:szCs w:val="24"/>
              </w:rPr>
              <w:t>对赛事弘扬价值观的认可度（</w:t>
            </w:r>
            <w:r>
              <w:rPr>
                <w:rFonts w:hint="default" w:ascii="Times New Roman" w:hAnsi="Times New Roman" w:eastAsia="宋体" w:cs="Times New Roman"/>
                <w:color w:val="auto"/>
                <w:sz w:val="24"/>
                <w:szCs w:val="24"/>
                <w:highlight w:val="none"/>
              </w:rPr>
              <w:t>0.3345</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2"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C36</w:t>
            </w:r>
            <w:r>
              <w:rPr>
                <w:rFonts w:hint="default" w:ascii="Times New Roman" w:hAnsi="Times New Roman" w:eastAsia="宋体" w:cs="Times New Roman"/>
                <w:color w:val="auto"/>
                <w:sz w:val="24"/>
                <w:szCs w:val="24"/>
              </w:rPr>
              <w:t>对赛事扮演角色的认可度（</w:t>
            </w:r>
            <w:r>
              <w:rPr>
                <w:rFonts w:hint="default" w:ascii="Times New Roman" w:hAnsi="Times New Roman" w:eastAsia="宋体" w:cs="Times New Roman"/>
                <w:color w:val="auto"/>
                <w:sz w:val="24"/>
                <w:szCs w:val="24"/>
                <w:highlight w:val="none"/>
              </w:rPr>
              <w:t>0.2344</w:t>
            </w:r>
            <w:r>
              <w:rPr>
                <w:rFonts w:hint="default" w:ascii="Times New Roman" w:hAnsi="Times New Roman" w:eastAsia="宋体"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2"/>
                <w:sz w:val="24"/>
                <w:szCs w:val="24"/>
                <w:lang w:eastAsia="zh-Hans"/>
              </w:rPr>
            </w:pPr>
            <w:r>
              <w:rPr>
                <w:rFonts w:hint="default" w:ascii="Times New Roman" w:hAnsi="Times New Roman" w:eastAsia="宋体" w:cs="Times New Roman"/>
                <w:color w:val="auto"/>
                <w:spacing w:val="-4"/>
                <w:sz w:val="24"/>
                <w:szCs w:val="24"/>
              </w:rPr>
              <w:t>B10赛</w:t>
            </w:r>
            <w:r>
              <w:rPr>
                <w:rFonts w:hint="default" w:ascii="Times New Roman" w:hAnsi="Times New Roman" w:eastAsia="宋体" w:cs="Times New Roman"/>
                <w:color w:val="auto"/>
                <w:spacing w:val="-2"/>
                <w:sz w:val="24"/>
                <w:szCs w:val="24"/>
              </w:rPr>
              <w:t>事标识</w:t>
            </w:r>
            <w:r>
              <w:rPr>
                <w:rFonts w:hint="default" w:ascii="Times New Roman" w:hAnsi="Times New Roman" w:eastAsia="宋体" w:cs="Times New Roman"/>
                <w:color w:val="auto"/>
                <w:spacing w:val="-2"/>
                <w:sz w:val="24"/>
                <w:szCs w:val="24"/>
                <w:lang w:eastAsia="zh-Hans"/>
              </w:rPr>
              <w:t>（</w:t>
            </w:r>
            <w:r>
              <w:rPr>
                <w:rFonts w:hint="default" w:ascii="Times New Roman" w:hAnsi="Times New Roman" w:eastAsia="宋体" w:cs="Times New Roman"/>
                <w:color w:val="auto"/>
                <w:spacing w:val="-7"/>
                <w:sz w:val="24"/>
                <w:szCs w:val="24"/>
                <w:highlight w:val="none"/>
              </w:rPr>
              <w:t>0.4322</w:t>
            </w:r>
            <w:r>
              <w:rPr>
                <w:rFonts w:hint="default" w:ascii="Times New Roman" w:hAnsi="Times New Roman" w:eastAsia="宋体" w:cs="Times New Roman"/>
                <w:color w:val="auto"/>
                <w:spacing w:val="-2"/>
                <w:sz w:val="24"/>
                <w:szCs w:val="24"/>
                <w:lang w:eastAsia="zh-Hans"/>
              </w:rPr>
              <w:t>）</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 xml:space="preserve">C37 </w:t>
            </w:r>
            <w:r>
              <w:rPr>
                <w:rFonts w:hint="default" w:ascii="Times New Roman" w:hAnsi="Times New Roman" w:eastAsia="宋体" w:cs="Times New Roman"/>
                <w:color w:val="auto"/>
                <w:sz w:val="24"/>
                <w:szCs w:val="24"/>
              </w:rPr>
              <w:t>赛事的名称的熟悉度（0.2654）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2"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C38</w:t>
            </w:r>
            <w:r>
              <w:rPr>
                <w:rFonts w:hint="default" w:ascii="Times New Roman" w:hAnsi="Times New Roman" w:eastAsia="宋体" w:cs="Times New Roman"/>
                <w:color w:val="auto"/>
                <w:sz w:val="24"/>
                <w:szCs w:val="24"/>
              </w:rPr>
              <w:t>准确识别赛事标志（0.2693）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C39</w:t>
            </w:r>
            <w:r>
              <w:rPr>
                <w:rFonts w:hint="default" w:ascii="Times New Roman" w:hAnsi="Times New Roman" w:eastAsia="宋体" w:cs="Times New Roman"/>
                <w:color w:val="auto"/>
                <w:sz w:val="24"/>
                <w:szCs w:val="24"/>
              </w:rPr>
              <w:t>熟悉赛事宣传形式与内容（0.4653）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color w:val="auto"/>
                <w:sz w:val="24"/>
                <w:szCs w:val="24"/>
                <w:highlight w:val="none"/>
                <w:vertAlign w:val="baseline"/>
                <w:lang w:eastAsia="zh-Hans"/>
              </w:rPr>
              <w:t>A4</w:t>
            </w:r>
            <w:r>
              <w:rPr>
                <w:rFonts w:hint="default" w:ascii="Times New Roman" w:hAnsi="Times New Roman" w:cs="Times New Roman"/>
                <w:sz w:val="24"/>
                <w:szCs w:val="24"/>
                <w:vertAlign w:val="baseline"/>
                <w:lang w:val="en-US" w:eastAsia="zh-Hans"/>
              </w:rPr>
              <w:t>品牌忠诚度</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（0</w:t>
            </w:r>
            <w:r>
              <w:rPr>
                <w:rFonts w:hint="default" w:ascii="Times New Roman" w:hAnsi="Times New Roman" w:cs="Times New Roman"/>
                <w:sz w:val="24"/>
                <w:szCs w:val="24"/>
                <w:vertAlign w:val="baseline"/>
                <w:lang w:val="en-US" w:eastAsia="zh-Hans"/>
              </w:rPr>
              <w:t>.</w:t>
            </w:r>
            <w:r>
              <w:rPr>
                <w:rFonts w:hint="default" w:ascii="Times New Roman" w:hAnsi="Times New Roman" w:cs="Times New Roman"/>
                <w:sz w:val="24"/>
                <w:szCs w:val="24"/>
                <w:vertAlign w:val="baseline"/>
                <w:lang w:eastAsia="zh-Hans"/>
              </w:rPr>
              <w:t>1156）</w:t>
            </w: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2"/>
                <w:sz w:val="24"/>
                <w:szCs w:val="24"/>
                <w:highlight w:val="none"/>
                <w:lang w:eastAsia="zh-Hans"/>
              </w:rPr>
            </w:pPr>
            <w:r>
              <w:rPr>
                <w:rFonts w:hint="default" w:ascii="Times New Roman" w:hAnsi="Times New Roman" w:eastAsia="宋体" w:cs="Times New Roman"/>
                <w:color w:val="auto"/>
                <w:spacing w:val="-3"/>
                <w:sz w:val="24"/>
                <w:szCs w:val="24"/>
                <w:highlight w:val="none"/>
              </w:rPr>
              <w:t>B11态</w:t>
            </w:r>
            <w:r>
              <w:rPr>
                <w:rFonts w:hint="default" w:ascii="Times New Roman" w:hAnsi="Times New Roman" w:eastAsia="宋体" w:cs="Times New Roman"/>
                <w:color w:val="auto"/>
                <w:spacing w:val="-2"/>
                <w:sz w:val="24"/>
                <w:szCs w:val="24"/>
                <w:highlight w:val="none"/>
              </w:rPr>
              <w:t>度忠诚（0</w:t>
            </w:r>
            <w:r>
              <w:rPr>
                <w:rFonts w:hint="default" w:ascii="Times New Roman" w:hAnsi="Times New Roman" w:eastAsia="宋体" w:cs="Times New Roman"/>
                <w:color w:val="auto"/>
                <w:spacing w:val="-2"/>
                <w:sz w:val="24"/>
                <w:szCs w:val="24"/>
                <w:highlight w:val="none"/>
                <w:lang w:val="en-US" w:eastAsia="zh-Hans"/>
              </w:rPr>
              <w:t>.</w:t>
            </w:r>
            <w:r>
              <w:rPr>
                <w:rFonts w:hint="default" w:ascii="Times New Roman" w:hAnsi="Times New Roman" w:eastAsia="宋体" w:cs="Times New Roman"/>
                <w:color w:val="auto"/>
                <w:spacing w:val="-2"/>
                <w:sz w:val="24"/>
                <w:szCs w:val="24"/>
                <w:highlight w:val="none"/>
                <w:lang w:eastAsia="zh-Hans"/>
              </w:rPr>
              <w:t>5000</w:t>
            </w:r>
            <w:r>
              <w:rPr>
                <w:rFonts w:hint="default" w:ascii="Times New Roman" w:hAnsi="Times New Roman" w:eastAsia="宋体" w:cs="Times New Roman"/>
                <w:color w:val="auto"/>
                <w:spacing w:val="-2"/>
                <w:sz w:val="24"/>
                <w:szCs w:val="24"/>
                <w:highlight w:val="none"/>
              </w:rPr>
              <w:t>）</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C40</w:t>
            </w:r>
            <w:r>
              <w:rPr>
                <w:rFonts w:hint="default" w:ascii="Times New Roman" w:hAnsi="Times New Roman" w:eastAsia="宋体" w:cs="Times New Roman"/>
                <w:color w:val="auto"/>
                <w:spacing w:val="-1"/>
                <w:sz w:val="24"/>
                <w:szCs w:val="24"/>
                <w:highlight w:val="none"/>
              </w:rPr>
              <w:t>与赛人员关注</w:t>
            </w:r>
            <w:r>
              <w:rPr>
                <w:rFonts w:hint="default" w:ascii="Times New Roman" w:hAnsi="Times New Roman" w:eastAsia="宋体" w:cs="Times New Roman"/>
                <w:color w:val="auto"/>
                <w:sz w:val="24"/>
                <w:szCs w:val="24"/>
                <w:highlight w:val="none"/>
              </w:rPr>
              <w:t>赛事相关信息（</w:t>
            </w:r>
            <w:r>
              <w:rPr>
                <w:rFonts w:hint="default" w:ascii="Times New Roman" w:hAnsi="Times New Roman" w:eastAsia="宋体" w:cs="Times New Roman"/>
                <w:color w:val="auto"/>
                <w:sz w:val="24"/>
                <w:szCs w:val="24"/>
              </w:rPr>
              <w:t>0.2474</w:t>
            </w:r>
            <w:r>
              <w:rPr>
                <w:rFonts w:hint="default" w:ascii="Times New Roman" w:hAnsi="Times New Roman" w:eastAsia="宋体" w:cs="Times New Roman"/>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6"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9"/>
                <w:sz w:val="24"/>
                <w:szCs w:val="24"/>
              </w:rPr>
              <w:t>C41</w:t>
            </w:r>
            <w:r>
              <w:rPr>
                <w:rFonts w:hint="default" w:ascii="Times New Roman" w:hAnsi="Times New Roman" w:eastAsia="宋体" w:cs="Times New Roman"/>
                <w:color w:val="auto"/>
                <w:spacing w:val="-9"/>
                <w:sz w:val="24"/>
                <w:szCs w:val="24"/>
              </w:rPr>
              <w:t>与赛人员期望赛事的发展与升级（</w:t>
            </w:r>
            <w:r>
              <w:rPr>
                <w:rFonts w:hint="default" w:ascii="Times New Roman" w:hAnsi="Times New Roman" w:eastAsia="宋体" w:cs="Times New Roman"/>
                <w:color w:val="auto"/>
                <w:sz w:val="24"/>
                <w:szCs w:val="24"/>
              </w:rPr>
              <w:t>0.1384</w:t>
            </w:r>
            <w:r>
              <w:rPr>
                <w:rFonts w:hint="default" w:ascii="Times New Roman" w:hAnsi="Times New Roman" w:eastAsia="宋体" w:cs="Times New Roman"/>
                <w:color w:val="auto"/>
                <w:spacing w:val="-9"/>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7"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C42</w:t>
            </w:r>
            <w:r>
              <w:rPr>
                <w:rFonts w:hint="default" w:ascii="Times New Roman" w:hAnsi="Times New Roman" w:eastAsia="宋体" w:cs="Times New Roman"/>
                <w:color w:val="auto"/>
                <w:sz w:val="24"/>
                <w:szCs w:val="24"/>
                <w:highlight w:val="none"/>
              </w:rPr>
              <w:t>观赛人员关注赛事相关信息（</w:t>
            </w:r>
            <w:r>
              <w:rPr>
                <w:rFonts w:hint="default" w:ascii="Times New Roman" w:hAnsi="Times New Roman" w:eastAsia="宋体" w:cs="Times New Roman"/>
                <w:color w:val="auto"/>
                <w:sz w:val="24"/>
                <w:szCs w:val="24"/>
              </w:rPr>
              <w:t>0.2249</w:t>
            </w:r>
            <w:r>
              <w:rPr>
                <w:rFonts w:hint="default" w:ascii="Times New Roman" w:hAnsi="Times New Roman" w:eastAsia="宋体" w:cs="Times New Roman"/>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7"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C43</w:t>
            </w:r>
            <w:r>
              <w:rPr>
                <w:rFonts w:hint="default" w:ascii="Times New Roman" w:hAnsi="Times New Roman" w:eastAsia="宋体" w:cs="Times New Roman"/>
                <w:color w:val="auto"/>
                <w:sz w:val="24"/>
                <w:szCs w:val="24"/>
              </w:rPr>
              <w:t>赞助商持续赞助赛事的意愿（0.3893）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3"/>
                <w:sz w:val="24"/>
                <w:szCs w:val="24"/>
                <w:lang w:eastAsia="zh-Hans"/>
              </w:rPr>
            </w:pPr>
            <w:r>
              <w:rPr>
                <w:rFonts w:hint="default" w:ascii="Times New Roman" w:hAnsi="Times New Roman" w:eastAsia="宋体" w:cs="Times New Roman"/>
                <w:color w:val="auto"/>
                <w:spacing w:val="-3"/>
                <w:sz w:val="24"/>
                <w:szCs w:val="24"/>
              </w:rPr>
              <w:t>B12行为忠诚（0</w:t>
            </w:r>
            <w:r>
              <w:rPr>
                <w:rFonts w:hint="default" w:ascii="Times New Roman" w:hAnsi="Times New Roman" w:eastAsia="宋体" w:cs="Times New Roman"/>
                <w:color w:val="auto"/>
                <w:spacing w:val="-3"/>
                <w:sz w:val="24"/>
                <w:szCs w:val="24"/>
                <w:lang w:val="en-US" w:eastAsia="zh-Hans"/>
              </w:rPr>
              <w:t>.</w:t>
            </w:r>
            <w:r>
              <w:rPr>
                <w:rFonts w:hint="default" w:ascii="Times New Roman" w:hAnsi="Times New Roman" w:eastAsia="宋体" w:cs="Times New Roman"/>
                <w:color w:val="auto"/>
                <w:spacing w:val="-3"/>
                <w:sz w:val="24"/>
                <w:szCs w:val="24"/>
                <w:lang w:eastAsia="zh-Hans"/>
              </w:rPr>
              <w:t>5000</w:t>
            </w:r>
            <w:r>
              <w:rPr>
                <w:rFonts w:hint="default" w:ascii="Times New Roman" w:hAnsi="Times New Roman" w:eastAsia="宋体" w:cs="Times New Roman"/>
                <w:color w:val="auto"/>
                <w:spacing w:val="-3"/>
                <w:sz w:val="24"/>
                <w:szCs w:val="24"/>
              </w:rPr>
              <w:t>）</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 xml:space="preserve">C44 </w:t>
            </w:r>
            <w:r>
              <w:rPr>
                <w:rFonts w:hint="default" w:ascii="Times New Roman" w:hAnsi="Times New Roman" w:eastAsia="宋体" w:cs="Times New Roman"/>
                <w:color w:val="auto"/>
                <w:sz w:val="24"/>
                <w:szCs w:val="24"/>
              </w:rPr>
              <w:t xml:space="preserve">与赛人员参加该赛事频次（0.2795）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8"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9"/>
                <w:sz w:val="24"/>
                <w:szCs w:val="24"/>
              </w:rPr>
              <w:t>C45</w:t>
            </w:r>
            <w:r>
              <w:rPr>
                <w:rFonts w:hint="default" w:ascii="Times New Roman" w:hAnsi="Times New Roman" w:eastAsia="宋体" w:cs="Times New Roman"/>
                <w:color w:val="auto"/>
                <w:spacing w:val="-9"/>
                <w:sz w:val="24"/>
                <w:szCs w:val="24"/>
              </w:rPr>
              <w:t>与赛人员经常关注该赛事的动态（</w:t>
            </w:r>
            <w:r>
              <w:rPr>
                <w:rFonts w:hint="default" w:ascii="Times New Roman" w:hAnsi="Times New Roman" w:eastAsia="宋体" w:cs="Times New Roman"/>
                <w:color w:val="auto"/>
                <w:sz w:val="24"/>
                <w:szCs w:val="24"/>
              </w:rPr>
              <w:t>0.2482</w:t>
            </w:r>
            <w:r>
              <w:rPr>
                <w:rFonts w:hint="default" w:ascii="Times New Roman" w:hAnsi="Times New Roman" w:eastAsia="宋体" w:cs="Times New Roman"/>
                <w:color w:val="auto"/>
                <w:spacing w:val="-9"/>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9"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C46</w:t>
            </w:r>
            <w:r>
              <w:rPr>
                <w:rFonts w:hint="default" w:ascii="Times New Roman" w:hAnsi="Times New Roman" w:eastAsia="宋体" w:cs="Times New Roman"/>
                <w:color w:val="auto"/>
                <w:sz w:val="24"/>
                <w:szCs w:val="24"/>
              </w:rPr>
              <w:t>与赛人员向周围人宣传该赛事（0.2370）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0" w:line="219" w:lineRule="auto"/>
              <w:ind w:left="0" w:leftChars="0" w:firstLine="0" w:firstLineChars="0"/>
              <w:textAlignment w:val="auto"/>
              <w:rPr>
                <w:rFonts w:hint="default" w:ascii="Times New Roman" w:hAnsi="Times New Roman" w:cs="Times New Roman"/>
                <w:sz w:val="24"/>
                <w:szCs w:val="24"/>
                <w:vertAlign w:val="baseline"/>
                <w:lang w:val="en-US" w:eastAsia="zh-Hans"/>
              </w:rPr>
            </w:pPr>
            <w:r>
              <w:rPr>
                <w:rFonts w:hint="default" w:ascii="Times New Roman" w:hAnsi="Times New Roman" w:eastAsia="Times New Roman" w:cs="Times New Roman"/>
                <w:color w:val="auto"/>
                <w:sz w:val="24"/>
                <w:szCs w:val="24"/>
                <w:highlight w:val="none"/>
              </w:rPr>
              <w:t xml:space="preserve">C47 </w:t>
            </w:r>
            <w:r>
              <w:rPr>
                <w:rFonts w:hint="default" w:ascii="Times New Roman" w:hAnsi="Times New Roman" w:eastAsia="宋体" w:cs="Times New Roman"/>
                <w:color w:val="auto"/>
                <w:sz w:val="24"/>
                <w:szCs w:val="24"/>
                <w:highlight w:val="none"/>
              </w:rPr>
              <w:t>政府和社会资本长期投入</w:t>
            </w:r>
            <w:r>
              <w:rPr>
                <w:rFonts w:hint="default" w:ascii="Times New Roman" w:hAnsi="Times New Roman" w:eastAsia="宋体" w:cs="Times New Roman"/>
                <w:color w:val="auto"/>
                <w:sz w:val="24"/>
                <w:szCs w:val="24"/>
                <w:highlight w:val="none"/>
                <w:lang w:eastAsia="zh-Hans"/>
              </w:rPr>
              <w:t>（</w:t>
            </w:r>
            <w:r>
              <w:rPr>
                <w:rFonts w:hint="default" w:ascii="Times New Roman" w:hAnsi="Times New Roman" w:eastAsia="宋体" w:cs="Times New Roman"/>
                <w:color w:val="auto"/>
                <w:sz w:val="24"/>
                <w:szCs w:val="24"/>
              </w:rPr>
              <w:t>0.2353</w:t>
            </w:r>
            <w:r>
              <w:rPr>
                <w:rFonts w:hint="default" w:ascii="Times New Roman" w:hAnsi="Times New Roman" w:eastAsia="宋体" w:cs="Times New Roman"/>
                <w:color w:val="auto"/>
                <w:sz w:val="24"/>
                <w:szCs w:val="24"/>
                <w:highlight w:val="none"/>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903"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r>
              <w:rPr>
                <w:rFonts w:hint="default" w:ascii="Times New Roman" w:hAnsi="Times New Roman" w:cs="Times New Roman"/>
                <w:color w:val="auto"/>
                <w:sz w:val="24"/>
                <w:szCs w:val="24"/>
                <w:vertAlign w:val="baseline"/>
                <w:lang w:eastAsia="zh-Hans"/>
              </w:rPr>
              <w:t>A5</w:t>
            </w:r>
            <w:r>
              <w:rPr>
                <w:rFonts w:hint="default" w:ascii="Times New Roman" w:hAnsi="Times New Roman" w:cs="Times New Roman"/>
                <w:sz w:val="24"/>
                <w:szCs w:val="24"/>
                <w:vertAlign w:val="baseline"/>
                <w:lang w:val="en-US" w:eastAsia="zh-Hans"/>
              </w:rPr>
              <w:t>品牌美誉度</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cs="Times New Roman"/>
                <w:sz w:val="24"/>
                <w:szCs w:val="24"/>
                <w:vertAlign w:val="baseline"/>
                <w:lang w:eastAsia="zh-Hans"/>
              </w:rPr>
              <w:t>（0</w:t>
            </w:r>
            <w:r>
              <w:rPr>
                <w:rFonts w:hint="default" w:ascii="Times New Roman" w:hAnsi="Times New Roman" w:cs="Times New Roman"/>
                <w:sz w:val="24"/>
                <w:szCs w:val="24"/>
                <w:vertAlign w:val="baseline"/>
                <w:lang w:val="en-US" w:eastAsia="zh-Hans"/>
              </w:rPr>
              <w:t>.</w:t>
            </w:r>
            <w:r>
              <w:rPr>
                <w:rFonts w:hint="default" w:ascii="Times New Roman" w:hAnsi="Times New Roman" w:cs="Times New Roman"/>
                <w:sz w:val="24"/>
                <w:szCs w:val="24"/>
                <w:vertAlign w:val="baseline"/>
                <w:lang w:eastAsia="zh-Hans"/>
              </w:rPr>
              <w:t>1556）</w:t>
            </w: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rPr>
            </w:pPr>
            <w:r>
              <w:rPr>
                <w:rFonts w:hint="default" w:ascii="Times New Roman" w:hAnsi="Times New Roman" w:eastAsia="宋体" w:cs="Times New Roman"/>
                <w:color w:val="auto"/>
                <w:spacing w:val="-2"/>
                <w:sz w:val="24"/>
                <w:szCs w:val="24"/>
              </w:rPr>
              <w:t>B13赛事质量</w:t>
            </w:r>
            <w:r>
              <w:rPr>
                <w:rFonts w:hint="default" w:ascii="Times New Roman" w:hAnsi="Times New Roman" w:eastAsia="宋体" w:cs="Times New Roman"/>
                <w:color w:val="auto"/>
                <w:spacing w:val="-1"/>
                <w:sz w:val="24"/>
                <w:szCs w:val="24"/>
              </w:rPr>
              <w:t>评价</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lang w:eastAsia="zh-Hans"/>
              </w:rPr>
            </w:pPr>
            <w:r>
              <w:rPr>
                <w:rFonts w:hint="default" w:ascii="Times New Roman" w:hAnsi="Times New Roman" w:eastAsia="宋体" w:cs="Times New Roman"/>
                <w:color w:val="auto"/>
                <w:spacing w:val="-1"/>
                <w:sz w:val="24"/>
                <w:szCs w:val="24"/>
              </w:rPr>
              <w:t>（0.4865）</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0"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C48</w:t>
            </w:r>
            <w:r>
              <w:rPr>
                <w:rFonts w:hint="default" w:ascii="Times New Roman" w:hAnsi="Times New Roman" w:eastAsia="宋体" w:cs="Times New Roman"/>
                <w:color w:val="auto"/>
                <w:spacing w:val="-1"/>
                <w:sz w:val="24"/>
                <w:szCs w:val="24"/>
              </w:rPr>
              <w:t>赛事级别的提</w:t>
            </w:r>
            <w:r>
              <w:rPr>
                <w:rFonts w:hint="default" w:ascii="Times New Roman" w:hAnsi="Times New Roman" w:eastAsia="宋体" w:cs="Times New Roman"/>
                <w:color w:val="auto"/>
                <w:sz w:val="24"/>
                <w:szCs w:val="24"/>
              </w:rPr>
              <w:t>升与规模的延伸（0.1886）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99"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highlight w:val="none"/>
              </w:rPr>
              <w:t>C49</w:t>
            </w:r>
            <w:r>
              <w:rPr>
                <w:rFonts w:hint="default" w:ascii="Times New Roman" w:hAnsi="Times New Roman" w:eastAsia="宋体" w:cs="Times New Roman"/>
                <w:color w:val="auto"/>
                <w:sz w:val="24"/>
                <w:szCs w:val="24"/>
                <w:highlight w:val="none"/>
                <w:lang w:eastAsia="zh-Hans"/>
              </w:rPr>
              <w:t>赛事利益方对赛事的满意度</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rPr>
              <w:t>0.1538</w:t>
            </w:r>
            <w:r>
              <w:rPr>
                <w:rFonts w:hint="default" w:ascii="Times New Roman" w:hAnsi="Times New Roman" w:eastAsia="宋体" w:cs="Times New Roman"/>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1"/>
                <w:sz w:val="24"/>
                <w:szCs w:val="24"/>
              </w:rPr>
              <w:t>C50</w:t>
            </w:r>
            <w:r>
              <w:rPr>
                <w:rFonts w:hint="default" w:ascii="Times New Roman" w:hAnsi="Times New Roman" w:eastAsia="宋体" w:cs="Times New Roman"/>
                <w:color w:val="auto"/>
                <w:sz w:val="24"/>
                <w:szCs w:val="24"/>
              </w:rPr>
              <w:t>参赛运动员规模（0.1479）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C51</w:t>
            </w:r>
            <w:r>
              <w:rPr>
                <w:rFonts w:hint="default" w:ascii="Times New Roman" w:hAnsi="Times New Roman" w:eastAsia="宋体" w:cs="Times New Roman"/>
                <w:color w:val="auto"/>
                <w:sz w:val="24"/>
                <w:szCs w:val="24"/>
              </w:rPr>
              <w:t>赛事开展中媒体入驻规模（0.1876）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C52</w:t>
            </w:r>
            <w:r>
              <w:rPr>
                <w:rFonts w:hint="default" w:ascii="Times New Roman" w:hAnsi="Times New Roman" w:eastAsia="宋体" w:cs="Times New Roman"/>
                <w:color w:val="auto"/>
                <w:spacing w:val="-1"/>
                <w:sz w:val="24"/>
                <w:szCs w:val="24"/>
              </w:rPr>
              <w:t>媒体对赛</w:t>
            </w:r>
            <w:r>
              <w:rPr>
                <w:rFonts w:hint="default" w:ascii="Times New Roman" w:hAnsi="Times New Roman" w:eastAsia="宋体" w:cs="Times New Roman"/>
                <w:color w:val="auto"/>
                <w:sz w:val="24"/>
                <w:szCs w:val="24"/>
              </w:rPr>
              <w:t>事报道的刊载量（0.1010）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1"/>
                <w:sz w:val="24"/>
                <w:szCs w:val="24"/>
              </w:rPr>
              <w:t xml:space="preserve">C53 </w:t>
            </w:r>
            <w:r>
              <w:rPr>
                <w:rFonts w:hint="default" w:ascii="Times New Roman" w:hAnsi="Times New Roman" w:eastAsia="宋体" w:cs="Times New Roman"/>
                <w:color w:val="auto"/>
                <w:spacing w:val="-1"/>
                <w:sz w:val="24"/>
                <w:szCs w:val="24"/>
              </w:rPr>
              <w:t>赛事发展关联品牌的数量（</w:t>
            </w:r>
            <w:r>
              <w:rPr>
                <w:rFonts w:hint="default" w:ascii="Times New Roman" w:hAnsi="Times New Roman" w:eastAsia="宋体" w:cs="Times New Roman"/>
                <w:color w:val="auto"/>
                <w:sz w:val="24"/>
                <w:szCs w:val="24"/>
              </w:rPr>
              <w:t>0.2211）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restart"/>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rPr>
            </w:pPr>
            <w:r>
              <w:rPr>
                <w:rFonts w:hint="default" w:ascii="Times New Roman" w:hAnsi="Times New Roman" w:eastAsia="宋体" w:cs="Times New Roman"/>
                <w:color w:val="auto"/>
                <w:spacing w:val="-2"/>
                <w:sz w:val="24"/>
                <w:szCs w:val="24"/>
              </w:rPr>
              <w:t>B14对</w:t>
            </w:r>
            <w:r>
              <w:rPr>
                <w:rFonts w:hint="default" w:ascii="Times New Roman" w:hAnsi="Times New Roman" w:eastAsia="宋体" w:cs="Times New Roman"/>
                <w:color w:val="auto"/>
                <w:spacing w:val="-1"/>
                <w:sz w:val="24"/>
                <w:szCs w:val="24"/>
              </w:rPr>
              <w:t>项目发展的促进</w:t>
            </w:r>
          </w:p>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spacing w:val="-1"/>
                <w:sz w:val="24"/>
                <w:szCs w:val="24"/>
                <w:lang w:eastAsia="zh-Hans"/>
              </w:rPr>
            </w:pPr>
            <w:r>
              <w:rPr>
                <w:rFonts w:hint="default" w:ascii="Times New Roman" w:hAnsi="Times New Roman" w:eastAsia="宋体" w:cs="Times New Roman"/>
                <w:color w:val="auto"/>
                <w:spacing w:val="-1"/>
                <w:sz w:val="24"/>
                <w:szCs w:val="24"/>
              </w:rPr>
              <w:t>（0.5135）</w:t>
            </w: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1"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 xml:space="preserve">C54 </w:t>
            </w:r>
            <w:r>
              <w:rPr>
                <w:rFonts w:hint="default" w:ascii="Times New Roman" w:hAnsi="Times New Roman" w:eastAsia="宋体" w:cs="Times New Roman"/>
                <w:color w:val="auto"/>
                <w:sz w:val="24"/>
                <w:szCs w:val="24"/>
              </w:rPr>
              <w:t>赛事成就优秀运动员的数量（0.2954）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2"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z w:val="24"/>
                <w:szCs w:val="24"/>
              </w:rPr>
              <w:t>C55</w:t>
            </w:r>
            <w:r>
              <w:rPr>
                <w:rFonts w:hint="default" w:ascii="Times New Roman" w:hAnsi="Times New Roman" w:eastAsia="宋体" w:cs="Times New Roman"/>
                <w:color w:val="auto"/>
                <w:sz w:val="24"/>
                <w:szCs w:val="24"/>
              </w:rPr>
              <w:t>赛事举办的密度（0.1990）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2" w:line="219"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9"/>
                <w:sz w:val="24"/>
                <w:szCs w:val="24"/>
              </w:rPr>
              <w:t>C56</w:t>
            </w:r>
            <w:r>
              <w:rPr>
                <w:rFonts w:hint="default" w:ascii="Times New Roman" w:hAnsi="Times New Roman" w:eastAsia="宋体" w:cs="Times New Roman"/>
                <w:color w:val="auto"/>
                <w:spacing w:val="-9"/>
                <w:sz w:val="24"/>
                <w:szCs w:val="24"/>
              </w:rPr>
              <w:t>赛事对全民健身的效果（</w:t>
            </w:r>
            <w:r>
              <w:rPr>
                <w:rFonts w:hint="default" w:ascii="Times New Roman" w:hAnsi="Times New Roman" w:eastAsia="宋体" w:cs="Times New Roman"/>
                <w:color w:val="auto"/>
                <w:sz w:val="24"/>
                <w:szCs w:val="24"/>
              </w:rPr>
              <w:t>0.2228</w:t>
            </w:r>
            <w:r>
              <w:rPr>
                <w:rFonts w:hint="default" w:ascii="Times New Roman" w:hAnsi="Times New Roman" w:eastAsia="宋体" w:cs="Times New Roman"/>
                <w:color w:val="auto"/>
                <w:spacing w:val="-9"/>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1903"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2704" w:type="dxa"/>
            <w:vMerge w:val="continue"/>
            <w:vAlign w:val="top"/>
          </w:tcPr>
          <w:p>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default" w:ascii="Times New Roman" w:hAnsi="Times New Roman" w:cs="Times New Roman"/>
                <w:sz w:val="24"/>
                <w:szCs w:val="24"/>
                <w:vertAlign w:val="baseline"/>
                <w:lang w:val="en-US" w:eastAsia="zh-Hans"/>
              </w:rPr>
            </w:pPr>
          </w:p>
        </w:tc>
        <w:tc>
          <w:tcPr>
            <w:tcW w:w="5272" w:type="dxa"/>
            <w:gridSpan w:val="2"/>
            <w:vAlign w:val="top"/>
          </w:tcPr>
          <w:p>
            <w:pPr>
              <w:keepNext w:val="0"/>
              <w:keepLines w:val="0"/>
              <w:pageBreakBefore w:val="0"/>
              <w:widowControl w:val="0"/>
              <w:kinsoku/>
              <w:wordWrap/>
              <w:overflowPunct/>
              <w:topLinePunct w:val="0"/>
              <w:autoSpaceDE/>
              <w:autoSpaceDN/>
              <w:bidi w:val="0"/>
              <w:adjustRightInd/>
              <w:snapToGrid/>
              <w:spacing w:before="102" w:line="220" w:lineRule="auto"/>
              <w:ind w:left="0" w:leftChars="0" w:firstLine="0" w:firstLineChars="0"/>
              <w:textAlignment w:val="auto"/>
              <w:rPr>
                <w:rFonts w:hint="default" w:ascii="Times New Roman" w:hAnsi="Times New Roman" w:cs="Times New Roman"/>
                <w:sz w:val="24"/>
                <w:szCs w:val="24"/>
                <w:vertAlign w:val="baseline"/>
                <w:lang w:eastAsia="zh-Hans"/>
              </w:rPr>
            </w:pPr>
            <w:r>
              <w:rPr>
                <w:rFonts w:hint="default" w:ascii="Times New Roman" w:hAnsi="Times New Roman" w:eastAsia="Times New Roman" w:cs="Times New Roman"/>
                <w:color w:val="auto"/>
                <w:spacing w:val="-9"/>
                <w:sz w:val="24"/>
                <w:szCs w:val="24"/>
              </w:rPr>
              <w:t>C57</w:t>
            </w:r>
            <w:r>
              <w:rPr>
                <w:rFonts w:hint="default" w:ascii="Times New Roman" w:hAnsi="Times New Roman" w:eastAsia="宋体" w:cs="Times New Roman"/>
                <w:color w:val="auto"/>
                <w:spacing w:val="-9"/>
                <w:sz w:val="24"/>
                <w:szCs w:val="24"/>
              </w:rPr>
              <w:t>赛事组织管理水平（</w:t>
            </w:r>
            <w:r>
              <w:rPr>
                <w:rFonts w:hint="default" w:ascii="Times New Roman" w:hAnsi="Times New Roman" w:eastAsia="宋体" w:cs="Times New Roman"/>
                <w:color w:val="auto"/>
                <w:sz w:val="24"/>
                <w:szCs w:val="24"/>
              </w:rPr>
              <w:t>0.2828</w:t>
            </w:r>
            <w:r>
              <w:rPr>
                <w:rFonts w:hint="default" w:ascii="Times New Roman" w:hAnsi="Times New Roman" w:eastAsia="宋体" w:cs="Times New Roman"/>
                <w:color w:val="auto"/>
                <w:spacing w:val="-9"/>
                <w:sz w:val="24"/>
                <w:szCs w:val="24"/>
              </w:rPr>
              <w:t>）</w:t>
            </w:r>
          </w:p>
        </w:tc>
      </w:tr>
    </w:tbl>
    <w:p>
      <w:pPr>
        <w:ind w:firstLine="562" w:firstLineChars="200"/>
        <w:rPr>
          <w:rFonts w:hint="default" w:ascii="Times New Roman" w:hAnsi="Times New Roman" w:eastAsia="宋体" w:cs="Times New Roman"/>
          <w:b/>
          <w:bCs/>
          <w:sz w:val="28"/>
          <w:szCs w:val="28"/>
          <w:lang w:val="en-US" w:eastAsia="zh-Hans"/>
        </w:rPr>
      </w:pPr>
      <w:bookmarkStart w:id="16" w:name="_Toc1135419167"/>
      <w:bookmarkStart w:id="17" w:name="_Toc1942784902"/>
      <w:r>
        <w:rPr>
          <w:rFonts w:hint="default" w:ascii="Times New Roman" w:hAnsi="Times New Roman" w:eastAsia="宋体" w:cs="Times New Roman"/>
          <w:b/>
          <w:bCs/>
          <w:sz w:val="28"/>
          <w:szCs w:val="28"/>
          <w:lang w:val="en-US" w:eastAsia="zh-CN"/>
        </w:rPr>
        <w:t>三</w:t>
      </w:r>
      <w:r>
        <w:rPr>
          <w:rFonts w:hint="default" w:ascii="Times New Roman" w:hAnsi="Times New Roman" w:eastAsia="宋体" w:cs="Times New Roman"/>
          <w:b/>
          <w:bCs/>
          <w:sz w:val="28"/>
          <w:szCs w:val="28"/>
          <w:lang w:val="en-US" w:eastAsia="zh-Hans"/>
        </w:rPr>
        <w:t>、</w:t>
      </w:r>
      <w:r>
        <w:rPr>
          <w:rFonts w:hint="default" w:ascii="Times New Roman" w:hAnsi="Times New Roman" w:eastAsia="宋体" w:cs="Times New Roman"/>
          <w:b/>
          <w:bCs/>
          <w:sz w:val="28"/>
          <w:szCs w:val="28"/>
          <w:lang w:val="en-US" w:eastAsia="zh-CN"/>
        </w:rPr>
        <w:t>包头市体育赛事品牌塑造</w:t>
      </w:r>
      <w:bookmarkEnd w:id="16"/>
      <w:bookmarkEnd w:id="17"/>
      <w:r>
        <w:rPr>
          <w:rFonts w:hint="default" w:ascii="Times New Roman" w:hAnsi="Times New Roman" w:eastAsia="宋体" w:cs="Times New Roman"/>
          <w:b/>
          <w:bCs/>
          <w:sz w:val="28"/>
          <w:szCs w:val="28"/>
          <w:lang w:val="en-US" w:eastAsia="zh-Hans"/>
        </w:rPr>
        <w:t>综合评价</w:t>
      </w:r>
    </w:p>
    <w:p>
      <w:pPr>
        <w:ind w:firstLine="560" w:firstLineChars="200"/>
        <w:rPr>
          <w:rFonts w:hint="default" w:ascii="Times New Roman" w:hAnsi="Times New Roman" w:eastAsia="宋体" w:cs="Times New Roman"/>
          <w:b w:val="0"/>
          <w:bCs w:val="0"/>
          <w:sz w:val="28"/>
          <w:szCs w:val="28"/>
          <w:lang w:val="en-US" w:eastAsia="zh-Hans"/>
        </w:rPr>
      </w:pPr>
      <w:bookmarkStart w:id="18" w:name="_Toc2044478926"/>
      <w:r>
        <w:rPr>
          <w:rFonts w:hint="default" w:ascii="Times New Roman" w:hAnsi="Times New Roman" w:eastAsia="宋体" w:cs="Times New Roman"/>
          <w:b w:val="0"/>
          <w:bCs w:val="0"/>
          <w:sz w:val="28"/>
          <w:szCs w:val="28"/>
          <w:lang w:val="en-US" w:eastAsia="zh-Hans"/>
        </w:rPr>
        <w:t>（一）评价模型</w:t>
      </w:r>
      <w:bookmarkEnd w:id="18"/>
    </w:p>
    <w:p>
      <w:pPr>
        <w:ind w:firstLine="560" w:firstLineChars="200"/>
        <w:rPr>
          <w:rFonts w:hint="default" w:ascii="Times New Roman" w:hAnsi="Times New Roman" w:eastAsia="宋体" w:cs="Times New Roman"/>
          <w:b w:val="0"/>
          <w:bCs w:val="0"/>
          <w:sz w:val="28"/>
          <w:szCs w:val="28"/>
          <w:lang w:val="en-US" w:eastAsia="zh-Hans"/>
        </w:rPr>
      </w:pPr>
      <w:bookmarkStart w:id="19" w:name="_Toc1818957282"/>
      <w:r>
        <w:rPr>
          <w:rFonts w:hint="default" w:ascii="Times New Roman" w:hAnsi="Times New Roman" w:eastAsia="宋体" w:cs="Times New Roman"/>
          <w:b w:val="0"/>
          <w:bCs w:val="0"/>
          <w:sz w:val="28"/>
          <w:szCs w:val="28"/>
          <w:lang w:val="en-US" w:eastAsia="zh-Hans"/>
        </w:rPr>
        <w:t>1. 确定评价模糊集</w:t>
      </w:r>
      <w:bookmarkEnd w:id="19"/>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依据包头市体育赛事品牌塑造评价指标体系，选取包头市第十四届运动会作为评价对象，采用模糊综合评价法来评价该赛事品牌塑造情况。</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确定评语等级论域为 V=｛品牌塑造“差”，品牌塑造“一般”，品牌塑造“良好”，品牌塑造“优秀”｝。现邀请5位从事体育赛事相关的科研、教学以及运营管理领域的专家进行包头市第十四届运动会赛事品牌塑造评价。包头市第十四届运动会赛事品牌塑造评价集为：</w:t>
      </w:r>
    </w:p>
    <w:p>
      <w:pPr>
        <w:ind w:firstLine="560" w:firstLineChars="200"/>
        <w:rPr>
          <w:rFonts w:hint="default" w:ascii="Times New Roman" w:hAnsi="Times New Roman" w:eastAsia="宋体" w:cs="Times New Roman"/>
          <w:sz w:val="28"/>
          <w:szCs w:val="28"/>
          <w:lang w:val="en-US" w:eastAsia="zh-Hans"/>
        </w:rPr>
      </w:pPr>
      <m:oMath>
        <m:r>
          <m:rPr>
            <m:sty m:val="p"/>
          </m:rPr>
          <w:rPr>
            <w:rFonts w:hint="default" w:ascii="Cambria Math" w:hAnsi="Cambria Math" w:eastAsia="宋体" w:cs="Times New Roman"/>
            <w:sz w:val="28"/>
            <w:szCs w:val="28"/>
            <w:lang w:val="en-US" w:eastAsia="zh-Hans"/>
          </w:rPr>
          <m:t>V=(</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m:t>
            </m:r>
            <m:ctrlPr>
              <w:rPr>
                <w:rFonts w:hint="default" w:ascii="Cambria Math" w:hAnsi="Cambria Math" w:eastAsia="宋体" w:cs="Times New Roman"/>
                <w:sz w:val="28"/>
                <w:szCs w:val="28"/>
                <w:lang w:val="en-US" w:eastAsia="zh-Hans"/>
              </w:rPr>
            </m:ctrlPr>
          </m:sub>
        </m:sSub>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m:t>
            </m:r>
            <m:ctrlPr>
              <w:rPr>
                <w:rFonts w:hint="default" w:ascii="Cambria Math" w:hAnsi="Cambria Math" w:eastAsia="宋体" w:cs="Times New Roman"/>
                <w:sz w:val="28"/>
                <w:szCs w:val="28"/>
                <w:lang w:val="en-US" w:eastAsia="zh-Hans"/>
              </w:rPr>
            </m:ctrlPr>
          </m:sub>
        </m:sSub>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3</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4</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oMath>
      <w:r>
        <w:rPr>
          <w:rFonts w:hint="default" w:ascii="Times New Roman" w:hAnsi="Times New Roman" w:eastAsia="宋体" w:cs="Times New Roman"/>
          <w:sz w:val="28"/>
          <w:szCs w:val="28"/>
          <w:lang w:val="en-US" w:eastAsia="zh-Hans"/>
        </w:rPr>
        <w:t xml:space="preserve">                                      </w:t>
      </w:r>
      <w:r>
        <w:rPr>
          <w:rFonts w:hint="default" w:ascii="Times New Roman" w:hAnsi="Times New Roman" w:eastAsia="宋体" w:cs="Times New Roman"/>
          <w:sz w:val="28"/>
          <w:szCs w:val="28"/>
          <w:lang w:val="en-US" w:eastAsia="zh-CN"/>
        </w:rPr>
        <w:t>（1）</w:t>
      </w:r>
    </w:p>
    <w:p>
      <w:pPr>
        <w:ind w:firstLine="560" w:firstLineChars="200"/>
        <w:rPr>
          <w:rFonts w:hint="default" w:ascii="Times New Roman" w:hAnsi="Times New Roman" w:eastAsia="宋体" w:cs="Times New Roman"/>
          <w:b/>
          <w:bCs/>
          <w:sz w:val="28"/>
          <w:szCs w:val="28"/>
          <w:lang w:val="en-US" w:eastAsia="zh-Hans"/>
        </w:rPr>
      </w:pPr>
      <w:bookmarkStart w:id="20" w:name="_Toc1785323529"/>
      <w:r>
        <w:rPr>
          <w:rFonts w:hint="default" w:ascii="Times New Roman" w:hAnsi="Times New Roman" w:eastAsia="宋体" w:cs="Times New Roman"/>
          <w:b w:val="0"/>
          <w:bCs w:val="0"/>
          <w:sz w:val="28"/>
          <w:szCs w:val="28"/>
          <w:lang w:val="en-US" w:eastAsia="zh-Hans"/>
        </w:rPr>
        <w:t>2. 构造隶属矩阵</w:t>
      </w:r>
      <w:bookmarkEnd w:id="20"/>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首先对包头市第十四届运动会赛事品牌塑造评价的单个指标</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(i=1,2,3⋯,m)</m:t>
        </m:r>
      </m:oMath>
      <w:r>
        <w:rPr>
          <w:rFonts w:hint="default" w:ascii="Times New Roman" w:hAnsi="Times New Roman" w:eastAsia="宋体" w:cs="Times New Roman"/>
          <w:sz w:val="28"/>
          <w:szCs w:val="28"/>
          <w:lang w:val="en-US" w:eastAsia="zh-Hans"/>
        </w:rPr>
        <w:t>作单个指标评价，从指标</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着眼包头市第十四届运动会赛事品牌塑造评价对评价集</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j</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(j=1,2,3⋯,n)</m:t>
        </m:r>
      </m:oMath>
      <w:r>
        <w:rPr>
          <w:rFonts w:hint="default" w:ascii="Times New Roman" w:hAnsi="Times New Roman" w:eastAsia="宋体" w:cs="Times New Roman"/>
          <w:sz w:val="28"/>
          <w:szCs w:val="28"/>
          <w:lang w:val="en-US" w:eastAsia="zh-Hans"/>
        </w:rPr>
        <w:t>的隶属度为</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ij</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，这样就得出第</w:t>
      </w:r>
      <m:oMath>
        <m:r>
          <m:rPr>
            <m:sty m:val="p"/>
          </m:rPr>
          <w:rPr>
            <w:rFonts w:hint="default" w:ascii="Cambria Math" w:hAnsi="Cambria Math" w:eastAsia="宋体" w:cs="Times New Roman"/>
            <w:sz w:val="28"/>
            <w:szCs w:val="28"/>
            <w:lang w:val="en-US" w:eastAsia="zh-Hans"/>
          </w:rPr>
          <m:t>i</m:t>
        </m:r>
      </m:oMath>
      <w:r>
        <w:rPr>
          <w:rFonts w:hint="default" w:ascii="Times New Roman" w:hAnsi="Times New Roman" w:eastAsia="宋体" w:cs="Times New Roman"/>
          <w:sz w:val="28"/>
          <w:szCs w:val="28"/>
          <w:lang w:val="en-US" w:eastAsia="zh-Hans"/>
        </w:rPr>
        <w:t>个指标的单指标评价集：</w:t>
      </w:r>
    </w:p>
    <w:p>
      <w:pPr>
        <w:ind w:firstLine="560" w:firstLineChars="200"/>
        <w:rPr>
          <w:rFonts w:hint="default" w:ascii="Times New Roman" w:hAnsi="Times New Roman" w:eastAsia="宋体" w:cs="Times New Roman"/>
          <w:sz w:val="28"/>
          <w:szCs w:val="28"/>
          <w:lang w:val="en-US" w:eastAsia="zh-Hans"/>
        </w:rPr>
      </w:pPr>
      <m:oMathPara>
        <m:oMath>
          <m:r>
            <m:rPr>
              <m:sty m:val="p"/>
            </m:rPr>
            <w:rPr>
              <w:rFonts w:hint="default" w:ascii="Cambria Math" w:hAnsi="Cambria Math" w:eastAsia="宋体" w:cs="Times New Roman"/>
              <w:sz w:val="28"/>
              <w:szCs w:val="28"/>
              <w:lang w:val="en-US" w:eastAsia="zh-Hans"/>
            </w:rPr>
            <m:t xml:space="preserve">    </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i1</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i2</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in</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 xml:space="preserve">)                            </m:t>
          </m:r>
          <m:r>
            <m:rPr>
              <m:sty m:val="p"/>
            </m:rPr>
            <w:rPr>
              <w:rFonts w:hint="default" w:ascii="Cambria Math" w:hAnsi="Cambria Math" w:eastAsia="宋体" w:cs="Times New Roman"/>
              <w:sz w:val="28"/>
              <w:szCs w:val="28"/>
              <w:lang w:val="en-US" w:eastAsia="zh-CN"/>
            </w:rPr>
            <m:t xml:space="preserve">              </m:t>
          </m:r>
          <m:r>
            <m:rPr>
              <m:sty m:val="p"/>
            </m:rPr>
            <w:rPr>
              <w:rFonts w:hint="default" w:ascii="Cambria Math" w:hAnsi="Cambria Math" w:eastAsia="宋体" w:cs="Times New Roman"/>
              <w:sz w:val="28"/>
              <w:szCs w:val="28"/>
              <w:lang w:val="en-US" w:eastAsia="zh-Hans"/>
            </w:rPr>
            <m:t xml:space="preserve">                             （2）</m:t>
          </m:r>
        </m:oMath>
      </m:oMathPara>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这样</w:t>
      </w:r>
      <m:oMath>
        <m:r>
          <m:rPr>
            <m:sty m:val="p"/>
          </m:rPr>
          <w:rPr>
            <w:rFonts w:hint="default" w:ascii="Cambria Math" w:hAnsi="Cambria Math" w:eastAsia="宋体" w:cs="Times New Roman"/>
            <w:sz w:val="28"/>
            <w:szCs w:val="28"/>
            <w:lang w:val="en-US" w:eastAsia="zh-Hans"/>
          </w:rPr>
          <m:t>m</m:t>
        </m:r>
      </m:oMath>
      <w:r>
        <w:rPr>
          <w:rFonts w:hint="default" w:ascii="Times New Roman" w:hAnsi="Times New Roman" w:eastAsia="宋体" w:cs="Times New Roman"/>
          <w:sz w:val="28"/>
          <w:szCs w:val="28"/>
          <w:lang w:val="en-US" w:eastAsia="zh-Hans"/>
        </w:rPr>
        <w:t>个指标的评价集就构造出一个总的评价矩阵</w:t>
      </w:r>
      <m:oMath>
        <m:r>
          <m:rPr>
            <m:sty m:val="p"/>
          </m:rPr>
          <w:rPr>
            <w:rFonts w:hint="default" w:ascii="Cambria Math" w:hAnsi="Cambria Math" w:eastAsia="宋体" w:cs="Times New Roman"/>
            <w:sz w:val="28"/>
            <w:szCs w:val="28"/>
            <w:lang w:val="en-US" w:eastAsia="zh-Hans"/>
          </w:rPr>
          <m:t>R</m:t>
        </m:r>
      </m:oMath>
      <w:r>
        <w:rPr>
          <w:rFonts w:hint="default" w:ascii="Times New Roman" w:hAnsi="Times New Roman" w:eastAsia="宋体" w:cs="Times New Roman"/>
          <w:sz w:val="28"/>
          <w:szCs w:val="28"/>
          <w:lang w:val="en-US" w:eastAsia="zh-Hans"/>
        </w:rPr>
        <w:t>。即每一个被评价的包头市第十四届运动会赛事品牌塑造评价确定了从</w:t>
      </w:r>
      <m:oMath>
        <m:r>
          <m:rPr>
            <m:sty m:val="p"/>
          </m:rPr>
          <w:rPr>
            <w:rFonts w:hint="default" w:ascii="Cambria Math" w:hAnsi="Cambria Math" w:eastAsia="宋体" w:cs="Times New Roman"/>
            <w:sz w:val="28"/>
            <w:szCs w:val="28"/>
            <w:lang w:val="en-US" w:eastAsia="zh-Hans"/>
          </w:rPr>
          <m:t>U</m:t>
        </m:r>
      </m:oMath>
      <w:r>
        <w:rPr>
          <w:rFonts w:hint="default" w:ascii="Times New Roman" w:hAnsi="Times New Roman" w:eastAsia="宋体" w:cs="Times New Roman"/>
          <w:sz w:val="28"/>
          <w:szCs w:val="28"/>
          <w:lang w:val="en-US" w:eastAsia="zh-Hans"/>
        </w:rPr>
        <w:t>到</w:t>
      </w:r>
      <m:oMath>
        <m:r>
          <m:rPr>
            <m:sty m:val="p"/>
          </m:rPr>
          <w:rPr>
            <w:rFonts w:hint="default" w:ascii="Cambria Math" w:hAnsi="Cambria Math" w:eastAsia="宋体" w:cs="Times New Roman"/>
            <w:sz w:val="28"/>
            <w:szCs w:val="28"/>
            <w:lang w:val="en-US" w:eastAsia="zh-Hans"/>
          </w:rPr>
          <m:t>V</m:t>
        </m:r>
      </m:oMath>
      <w:r>
        <w:rPr>
          <w:rFonts w:hint="default" w:ascii="Times New Roman" w:hAnsi="Times New Roman" w:eastAsia="宋体" w:cs="Times New Roman"/>
          <w:sz w:val="28"/>
          <w:szCs w:val="28"/>
          <w:lang w:val="en-US" w:eastAsia="zh-Hans"/>
        </w:rPr>
        <w:t>的模糊关系</w:t>
      </w:r>
      <m:oMath>
        <m:r>
          <m:rPr>
            <m:sty m:val="p"/>
          </m:rPr>
          <w:rPr>
            <w:rFonts w:hint="default" w:ascii="Cambria Math" w:hAnsi="Cambria Math" w:eastAsia="宋体" w:cs="Times New Roman"/>
            <w:sz w:val="28"/>
            <w:szCs w:val="28"/>
            <w:lang w:val="en-US" w:eastAsia="zh-Hans"/>
          </w:rPr>
          <m:t>R</m:t>
        </m:r>
      </m:oMath>
      <w:r>
        <w:rPr>
          <w:rFonts w:hint="default" w:ascii="Times New Roman" w:hAnsi="Times New Roman" w:eastAsia="宋体" w:cs="Times New Roman"/>
          <w:sz w:val="28"/>
          <w:szCs w:val="28"/>
          <w:lang w:val="en-US" w:eastAsia="zh-Hans"/>
        </w:rPr>
        <w:t>，它是一个矩阵：</w:t>
      </w:r>
    </w:p>
    <w:p>
      <w:pPr>
        <w:ind w:firstLine="560" w:firstLineChars="200"/>
        <w:rPr>
          <w:rFonts w:hint="default" w:ascii="Times New Roman" w:hAnsi="Times New Roman" w:eastAsia="宋体" w:cs="Times New Roman"/>
          <w:sz w:val="28"/>
          <w:szCs w:val="28"/>
          <w:lang w:val="en-US" w:eastAsia="zh-Hans"/>
        </w:rPr>
      </w:pPr>
      <m:oMath>
        <m:r>
          <m:rPr>
            <m:sty m:val="p"/>
          </m:rPr>
          <w:rPr>
            <w:rFonts w:hint="default" w:ascii="Cambria Math" w:hAnsi="Cambria Math" w:eastAsia="宋体" w:cs="Times New Roman"/>
            <w:sz w:val="28"/>
            <w:szCs w:val="28"/>
            <w:lang w:val="en-US" w:eastAsia="zh-Hans"/>
          </w:rPr>
          <m:t>R=</m:t>
        </m:r>
        <m:d>
          <m:dPr>
            <m:ctrlPr>
              <w:rPr>
                <w:rFonts w:hint="default" w:ascii="Cambria Math" w:hAnsi="Cambria Math" w:eastAsia="宋体" w:cs="Times New Roman"/>
                <w:sz w:val="28"/>
                <w:szCs w:val="28"/>
                <w:lang w:val="en-US" w:eastAsia="zh-Hans"/>
              </w:rPr>
            </m:ctrlPr>
          </m:dP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ij</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d>
        <m:r>
          <m:rPr>
            <m:sty m:val="p"/>
          </m:rPr>
          <w:rPr>
            <w:rFonts w:hint="default" w:ascii="Cambria Math" w:hAnsi="Cambria Math" w:eastAsia="宋体" w:cs="Times New Roman"/>
            <w:sz w:val="28"/>
            <w:szCs w:val="28"/>
            <w:lang w:val="en-US" w:eastAsia="zh-Hans"/>
          </w:rPr>
          <m:t>m∗n=</m:t>
        </m:r>
        <m:d>
          <m:dPr>
            <m:begChr m:val="["/>
            <m:endChr m:val="]"/>
            <m:ctrlPr>
              <w:rPr>
                <w:rFonts w:hint="default" w:ascii="Cambria Math" w:hAnsi="Cambria Math" w:eastAsia="宋体" w:cs="Times New Roman"/>
                <w:sz w:val="28"/>
                <w:szCs w:val="28"/>
                <w:lang w:val="en-US" w:eastAsia="zh-Hans"/>
              </w:rPr>
            </m:ctrlPr>
          </m:dPr>
          <m:e>
            <m:m>
              <m:mPr>
                <m:mcs>
                  <m:mc>
                    <m:mcPr>
                      <m:count m:val="4"/>
                      <m:mcJc m:val="center"/>
                    </m:mcPr>
                  </m:mc>
                </m:mcs>
                <m:ctrlPr>
                  <w:rPr>
                    <w:rFonts w:hint="default" w:ascii="Cambria Math" w:hAnsi="Cambria Math" w:eastAsia="宋体" w:cs="Times New Roman"/>
                    <w:sz w:val="28"/>
                    <w:szCs w:val="28"/>
                    <w:lang w:val="en-US" w:eastAsia="zh-Hans"/>
                  </w:rPr>
                </m:ctrlPr>
              </m:mPr>
              <m:m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11</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12</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1n</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mr>
              <m:m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21</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22</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2n</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mr>
              <m:mr>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mr>
              <m:m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m1</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m2</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mn</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mr>
            </m:m>
            <m:ctrlPr>
              <w:rPr>
                <w:rFonts w:hint="default" w:ascii="Cambria Math" w:hAnsi="Cambria Math" w:eastAsia="宋体" w:cs="Times New Roman"/>
                <w:sz w:val="28"/>
                <w:szCs w:val="28"/>
                <w:lang w:val="en-US" w:eastAsia="zh-Hans"/>
              </w:rPr>
            </m:ctrlPr>
          </m:e>
        </m:d>
      </m:oMath>
      <w:r>
        <w:rPr>
          <w:rFonts w:hint="default" w:ascii="Times New Roman" w:hAnsi="Times New Roman" w:eastAsia="宋体" w:cs="Times New Roman"/>
          <w:sz w:val="28"/>
          <w:szCs w:val="28"/>
          <w:lang w:val="en-US" w:eastAsia="zh-Hans"/>
        </w:rPr>
        <w:t xml:space="preserve">                  </w:t>
      </w:r>
      <w:r>
        <w:rPr>
          <w:rFonts w:hint="default" w:ascii="Times New Roman" w:hAnsi="Times New Roman" w:cs="Times New Roman"/>
          <w:sz w:val="28"/>
          <w:szCs w:val="28"/>
          <w:lang w:val="en-US" w:eastAsia="zh-CN"/>
        </w:rPr>
        <w:t xml:space="preserve">   </w:t>
      </w:r>
      <w:r>
        <w:rPr>
          <w:rFonts w:hint="default" w:ascii="Times New Roman" w:hAnsi="Times New Roman" w:eastAsia="宋体" w:cs="Times New Roman"/>
          <w:sz w:val="28"/>
          <w:szCs w:val="28"/>
          <w:lang w:val="en-US" w:eastAsia="zh-Hans"/>
        </w:rPr>
        <w:t xml:space="preserve">     （3）</w:t>
      </w:r>
    </w:p>
    <w:p>
      <w:pPr>
        <w:ind w:firstLine="840" w:firstLineChars="300"/>
        <w:rPr>
          <w:rFonts w:hint="default" w:ascii="Times New Roman" w:hAnsi="Times New Roman" w:eastAsia="宋体" w:cs="Times New Roman"/>
          <w:sz w:val="28"/>
          <w:szCs w:val="28"/>
          <w:lang w:val="en-US" w:eastAsia="zh-Hans"/>
        </w:rPr>
      </w:pPr>
      <m:oMathPara>
        <m:oMathParaPr>
          <m:jc m:val="center"/>
        </m:oMathParaPr>
        <m:oMath>
          <m:r>
            <m:rPr>
              <m:sty m:val="p"/>
            </m:rPr>
            <w:rPr>
              <w:rFonts w:hint="default" w:ascii="Cambria Math" w:hAnsi="Cambria Math" w:eastAsia="宋体" w:cs="Times New Roman"/>
              <w:sz w:val="28"/>
              <w:szCs w:val="28"/>
              <w:lang w:val="en-US" w:eastAsia="zh-Hans"/>
            </w:rPr>
            <m:t>(i=1,2,3⋯,m；j=1,2,3⋯,n)</m:t>
          </m:r>
        </m:oMath>
      </m:oMathPara>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其中</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ij</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表示从指标</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着眼，该评价对象能评为</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的隶属度。具体的说，</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ij</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表示第</w:t>
      </w:r>
      <m:oMath>
        <m:r>
          <m:rPr>
            <m:sty m:val="p"/>
          </m:rPr>
          <w:rPr>
            <w:rFonts w:hint="default" w:ascii="Cambria Math" w:hAnsi="Cambria Math" w:eastAsia="宋体" w:cs="Times New Roman"/>
            <w:sz w:val="28"/>
            <w:szCs w:val="28"/>
            <w:lang w:val="en-US" w:eastAsia="zh-Hans"/>
          </w:rPr>
          <m:t xml:space="preserve"> i</m:t>
        </m:r>
      </m:oMath>
      <w:r>
        <w:rPr>
          <w:rFonts w:hint="default" w:ascii="Times New Roman" w:hAnsi="Times New Roman" w:eastAsia="宋体" w:cs="Times New Roman"/>
          <w:sz w:val="28"/>
          <w:szCs w:val="28"/>
          <w:lang w:val="en-US" w:eastAsia="zh-Hans"/>
        </w:rPr>
        <w:t>个因素</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i</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在第</w:t>
      </w:r>
      <m:oMath>
        <m:r>
          <m:rPr>
            <m:sty m:val="p"/>
          </m:rPr>
          <w:rPr>
            <w:rFonts w:hint="default" w:ascii="Cambria Math" w:hAnsi="Cambria Math" w:eastAsia="宋体" w:cs="Times New Roman"/>
            <w:sz w:val="28"/>
            <w:szCs w:val="28"/>
            <w:lang w:val="en-US" w:eastAsia="zh-Hans"/>
          </w:rPr>
          <m:t xml:space="preserve"> j</m:t>
        </m:r>
      </m:oMath>
      <w:r>
        <w:rPr>
          <w:rFonts w:hint="default" w:ascii="Times New Roman" w:hAnsi="Times New Roman" w:eastAsia="宋体" w:cs="Times New Roman"/>
          <w:sz w:val="28"/>
          <w:szCs w:val="28"/>
          <w:lang w:val="en-US" w:eastAsia="zh-Hans"/>
        </w:rPr>
        <w:t>个评语</w:t>
      </w:r>
      <m:oMath>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v</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j</m:t>
            </m:r>
            <m:ctrlPr>
              <w:rPr>
                <w:rFonts w:hint="default" w:ascii="Cambria Math" w:hAnsi="Cambria Math" w:eastAsia="宋体" w:cs="Times New Roman"/>
                <w:sz w:val="28"/>
                <w:szCs w:val="28"/>
                <w:lang w:val="en-US" w:eastAsia="zh-Hans"/>
              </w:rPr>
            </m:ctrlPr>
          </m:sub>
        </m:sSub>
      </m:oMath>
      <w:r>
        <w:rPr>
          <w:rFonts w:hint="default" w:ascii="Times New Roman" w:hAnsi="Times New Roman" w:eastAsia="宋体" w:cs="Times New Roman"/>
          <w:sz w:val="28"/>
          <w:szCs w:val="28"/>
          <w:lang w:val="en-US" w:eastAsia="zh-Hans"/>
        </w:rPr>
        <w:t>上的频率分布。</w:t>
      </w:r>
    </w:p>
    <w:p>
      <w:pPr>
        <w:numPr>
          <w:ilvl w:val="0"/>
          <w:numId w:val="1"/>
        </w:numPr>
        <w:ind w:firstLine="560" w:firstLineChars="200"/>
        <w:rPr>
          <w:rFonts w:hint="default" w:ascii="Times New Roman" w:hAnsi="Times New Roman" w:eastAsia="宋体" w:cs="Times New Roman"/>
          <w:b w:val="0"/>
          <w:bCs w:val="0"/>
          <w:sz w:val="28"/>
          <w:szCs w:val="28"/>
          <w:lang w:val="en-US" w:eastAsia="zh-Hans"/>
        </w:rPr>
      </w:pPr>
      <w:bookmarkStart w:id="21" w:name="_Toc1291036019"/>
      <w:r>
        <w:rPr>
          <w:rFonts w:hint="default" w:ascii="Times New Roman" w:hAnsi="Times New Roman" w:eastAsia="宋体" w:cs="Times New Roman"/>
          <w:b w:val="0"/>
          <w:bCs w:val="0"/>
          <w:sz w:val="28"/>
          <w:szCs w:val="28"/>
          <w:lang w:val="en-US" w:eastAsia="zh-Hans"/>
        </w:rPr>
        <w:t>建立评价模型</w:t>
      </w:r>
      <w:bookmarkEnd w:id="21"/>
      <w:r>
        <w:rPr>
          <w:rFonts w:hint="default" w:ascii="Times New Roman" w:hAnsi="Times New Roman" w:eastAsia="宋体" w:cs="Times New Roman"/>
          <w:b w:val="0"/>
          <w:bCs w:val="0"/>
          <w:sz w:val="28"/>
          <w:szCs w:val="28"/>
          <w:lang w:val="en-US" w:eastAsia="zh-Hans"/>
        </w:rPr>
        <w:t>。</w:t>
      </w:r>
    </w:p>
    <w:p>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R中不同的行反映了包头市第十四届运动会赛事品牌塑造评价从不同的指标来看各等级模糊子集的隶属程度。用模糊权向量</w:t>
      </w:r>
      <m:oMath>
        <m:r>
          <m:rPr>
            <m:sty m:val="p"/>
          </m:rPr>
          <w:rPr>
            <w:rFonts w:hint="default" w:ascii="Cambria Math" w:hAnsi="Cambria Math" w:eastAsia="宋体" w:cs="Times New Roman"/>
            <w:sz w:val="28"/>
            <w:szCs w:val="28"/>
            <w:lang w:val="en-US" w:eastAsia="zh-Hans"/>
          </w:rPr>
          <m:t>W</m:t>
        </m:r>
      </m:oMath>
      <w:r>
        <w:rPr>
          <w:rFonts w:hint="default" w:ascii="Times New Roman" w:hAnsi="Times New Roman" w:eastAsia="宋体" w:cs="Times New Roman"/>
          <w:sz w:val="28"/>
          <w:szCs w:val="28"/>
          <w:lang w:val="en-US" w:eastAsia="zh-Hans"/>
        </w:rPr>
        <w:t>将不同的行进行综合，就可以得到包头市第十四届运动会赛事品牌塑造评价从总体上来看对各等级模糊子集的隶属程度，即模糊综合评价结果向量。</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引入</w:t>
      </w:r>
      <m:oMath>
        <m:r>
          <m:rPr>
            <m:sty m:val="p"/>
          </m:rPr>
          <w:rPr>
            <w:rFonts w:hint="default" w:ascii="Cambria Math" w:hAnsi="Cambria Math" w:eastAsia="宋体" w:cs="Times New Roman"/>
            <w:sz w:val="28"/>
            <w:szCs w:val="28"/>
            <w:lang w:val="en-US" w:eastAsia="zh-Hans"/>
          </w:rPr>
          <m:t>V</m:t>
        </m:r>
      </m:oMath>
      <w:r>
        <w:rPr>
          <w:rFonts w:hint="default" w:ascii="Times New Roman" w:hAnsi="Times New Roman" w:eastAsia="宋体" w:cs="Times New Roman"/>
          <w:sz w:val="28"/>
          <w:szCs w:val="28"/>
          <w:lang w:val="en-US" w:eastAsia="zh-Hans"/>
        </w:rPr>
        <w:t>上的一个模糊子集</w:t>
      </w:r>
      <m:oMath>
        <m:r>
          <m:rPr>
            <m:sty m:val="p"/>
          </m:rPr>
          <w:rPr>
            <w:rFonts w:hint="default" w:ascii="Cambria Math" w:hAnsi="Cambria Math" w:eastAsia="宋体" w:cs="Times New Roman"/>
            <w:sz w:val="28"/>
            <w:szCs w:val="28"/>
            <w:lang w:val="en-US" w:eastAsia="zh-Hans"/>
          </w:rPr>
          <m:t>U</m:t>
        </m:r>
      </m:oMath>
      <w:r>
        <w:rPr>
          <w:rFonts w:hint="default" w:ascii="Times New Roman" w:hAnsi="Times New Roman" w:eastAsia="宋体" w:cs="Times New Roman"/>
          <w:sz w:val="28"/>
          <w:szCs w:val="28"/>
          <w:lang w:val="en-US" w:eastAsia="zh-Hans"/>
        </w:rPr>
        <w:t>，称为模糊评价，</w:t>
      </w:r>
      <m:oMath>
        <m:r>
          <m:rPr>
            <m:sty m:val="p"/>
          </m:rPr>
          <w:rPr>
            <w:rFonts w:hint="default" w:ascii="Cambria Math" w:hAnsi="Cambria Math" w:eastAsia="宋体" w:cs="Times New Roman"/>
            <w:sz w:val="28"/>
            <w:szCs w:val="28"/>
            <w:lang w:val="en-US" w:eastAsia="zh-Hans"/>
          </w:rPr>
          <m:t>U=（</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n</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oMath>
      <w:r>
        <w:rPr>
          <w:rFonts w:hint="default" w:ascii="Times New Roman" w:hAnsi="Times New Roman" w:eastAsia="宋体" w:cs="Times New Roman"/>
          <w:sz w:val="28"/>
          <w:szCs w:val="28"/>
          <w:lang w:val="en-US" w:eastAsia="zh-Hans"/>
        </w:rPr>
        <w:t>。它是对包头市第十四届运动会赛事品牌塑造评价总体情况的分等级程度描述。</w:t>
      </w:r>
    </w:p>
    <w:p>
      <w:pPr>
        <w:ind w:firstLine="560" w:firstLineChars="200"/>
        <w:rPr>
          <w:rFonts w:hint="default" w:ascii="Times New Roman" w:hAnsi="Times New Roman" w:eastAsia="宋体" w:cs="Times New Roman"/>
          <w:sz w:val="28"/>
          <w:szCs w:val="28"/>
          <w:lang w:val="en-US" w:eastAsia="zh-Hans"/>
        </w:rPr>
      </w:pPr>
      <m:oMath>
        <m:r>
          <m:rPr>
            <m:sty m:val="p"/>
          </m:rPr>
          <w:rPr>
            <w:rFonts w:hint="default" w:ascii="Cambria Math" w:hAnsi="Cambria Math" w:eastAsia="宋体" w:cs="Times New Roman"/>
            <w:sz w:val="28"/>
            <w:szCs w:val="28"/>
            <w:lang w:val="en-US" w:eastAsia="zh-Hans"/>
          </w:rPr>
          <m:t>U=W∗R=</m:t>
        </m:r>
        <m:d>
          <m:dPr>
            <m:ctrlPr>
              <w:rPr>
                <w:rFonts w:hint="default" w:ascii="Cambria Math" w:hAnsi="Cambria Math" w:eastAsia="宋体" w:cs="Times New Roman"/>
                <w:sz w:val="28"/>
                <w:szCs w:val="28"/>
                <w:lang w:val="en-US" w:eastAsia="zh-Hans"/>
              </w:rPr>
            </m:ctrlPr>
          </m:dP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w</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w</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m</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d>
        <m:r>
          <m:rPr>
            <m:sty m:val="p"/>
          </m:rPr>
          <w:rPr>
            <w:rFonts w:hint="default" w:ascii="Cambria Math" w:hAnsi="Cambria Math" w:eastAsia="宋体" w:cs="Times New Roman"/>
            <w:sz w:val="28"/>
            <w:szCs w:val="28"/>
            <w:lang w:val="en-US" w:eastAsia="zh-Hans"/>
          </w:rPr>
          <m:t>∗</m:t>
        </m:r>
        <m:d>
          <m:dPr>
            <m:begChr m:val="["/>
            <m:endChr m:val="]"/>
            <m:ctrlPr>
              <w:rPr>
                <w:rFonts w:hint="default" w:ascii="Cambria Math" w:hAnsi="Cambria Math" w:eastAsia="宋体" w:cs="Times New Roman"/>
                <w:sz w:val="28"/>
                <w:szCs w:val="28"/>
                <w:lang w:val="en-US" w:eastAsia="zh-Hans"/>
              </w:rPr>
            </m:ctrlPr>
          </m:dPr>
          <m:e>
            <m:m>
              <m:mPr>
                <m:mcs>
                  <m:mc>
                    <m:mcPr>
                      <m:count m:val="3"/>
                      <m:mcJc m:val="center"/>
                    </m:mcPr>
                  </m:mc>
                </m:mcs>
                <m:ctrlPr>
                  <w:rPr>
                    <w:rFonts w:hint="default" w:ascii="Cambria Math" w:hAnsi="Cambria Math" w:eastAsia="宋体" w:cs="Times New Roman"/>
                    <w:sz w:val="28"/>
                    <w:szCs w:val="28"/>
                    <w:lang w:val="en-US" w:eastAsia="zh-Hans"/>
                  </w:rPr>
                </m:ctrlPr>
              </m:mPr>
              <m:m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11</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1n</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mr>
              <m:m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21</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2n</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mr>
              <m:mr>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mr>
              <m:mr>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m1</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e>
                  <m:r>
                    <m:rPr>
                      <m:sty m:val="p"/>
                    </m:rPr>
                    <w:rPr>
                      <w:rFonts w:hint="default" w:ascii="Cambria Math" w:hAnsi="Cambria Math" w:eastAsia="宋体" w:cs="Times New Roman"/>
                      <w:sz w:val="28"/>
                      <w:szCs w:val="28"/>
                      <w:lang w:val="en-US" w:eastAsia="zh-Hans"/>
                    </w:rPr>
                    <m:t>⋯</m:t>
                  </m:r>
                  <m:ctrlPr>
                    <w:rPr>
                      <w:rFonts w:hint="default" w:ascii="Cambria Math" w:hAnsi="Cambria Math" w:eastAsia="宋体" w:cs="Times New Roman"/>
                      <w:sz w:val="28"/>
                      <w:szCs w:val="28"/>
                      <w:lang w:val="en-US" w:eastAsia="zh-Hans"/>
                    </w:rPr>
                  </m:ctrlPr>
                </m:e>
                <m:e>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r</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mn</m:t>
                      </m:r>
                      <m:ctrlPr>
                        <w:rPr>
                          <w:rFonts w:hint="default" w:ascii="Cambria Math" w:hAnsi="Cambria Math" w:eastAsia="宋体" w:cs="Times New Roman"/>
                          <w:sz w:val="28"/>
                          <w:szCs w:val="28"/>
                          <w:lang w:val="en-US" w:eastAsia="zh-Hans"/>
                        </w:rPr>
                      </m:ctrlPr>
                    </m:sub>
                  </m:sSub>
                  <m:ctrlPr>
                    <w:rPr>
                      <w:rFonts w:hint="default" w:ascii="Cambria Math" w:hAnsi="Cambria Math" w:eastAsia="宋体" w:cs="Times New Roman"/>
                      <w:sz w:val="28"/>
                      <w:szCs w:val="28"/>
                      <w:lang w:val="en-US" w:eastAsia="zh-Hans"/>
                    </w:rPr>
                  </m:ctrlPr>
                </m:e>
              </m:mr>
            </m:m>
            <m:ctrlPr>
              <w:rPr>
                <w:rFonts w:hint="default" w:ascii="Cambria Math" w:hAnsi="Cambria Math" w:eastAsia="宋体" w:cs="Times New Roman"/>
                <w:sz w:val="28"/>
                <w:szCs w:val="28"/>
                <w:lang w:val="en-US" w:eastAsia="zh-Hans"/>
              </w:rPr>
            </m:ctrlPr>
          </m:e>
        </m:d>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1</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2</m:t>
            </m:r>
            <m:ctrlPr>
              <w:rPr>
                <w:rFonts w:hint="default" w:ascii="Cambria Math" w:hAnsi="Cambria Math" w:eastAsia="宋体" w:cs="Times New Roman"/>
                <w:sz w:val="28"/>
                <w:szCs w:val="28"/>
                <w:lang w:val="en-US" w:eastAsia="zh-Hans"/>
              </w:rPr>
            </m:ctrlPr>
          </m:sub>
        </m:sSub>
        <m:sSub>
          <m:sSubPr>
            <m:ctrlPr>
              <w:rPr>
                <w:rFonts w:hint="default" w:ascii="Cambria Math" w:hAnsi="Cambria Math" w:eastAsia="宋体" w:cs="Times New Roman"/>
                <w:sz w:val="28"/>
                <w:szCs w:val="28"/>
                <w:lang w:val="en-US" w:eastAsia="zh-Hans"/>
              </w:rPr>
            </m:ctrlPr>
          </m:sSubPr>
          <m:e>
            <m:r>
              <m:rPr>
                <m:sty m:val="p"/>
              </m:rPr>
              <w:rPr>
                <w:rFonts w:hint="default" w:ascii="Cambria Math" w:hAnsi="Cambria Math" w:eastAsia="宋体" w:cs="Times New Roman"/>
                <w:sz w:val="28"/>
                <w:szCs w:val="28"/>
                <w:lang w:val="en-US" w:eastAsia="zh-Hans"/>
              </w:rPr>
              <m:t>,⋯u</m:t>
            </m:r>
            <m:ctrlPr>
              <w:rPr>
                <w:rFonts w:hint="default" w:ascii="Cambria Math" w:hAnsi="Cambria Math" w:eastAsia="宋体" w:cs="Times New Roman"/>
                <w:sz w:val="28"/>
                <w:szCs w:val="28"/>
                <w:lang w:val="en-US" w:eastAsia="zh-Hans"/>
              </w:rPr>
            </m:ctrlPr>
          </m:e>
          <m:sub>
            <m:r>
              <m:rPr>
                <m:sty m:val="p"/>
              </m:rPr>
              <w:rPr>
                <w:rFonts w:hint="default" w:ascii="Cambria Math" w:hAnsi="Cambria Math" w:eastAsia="宋体" w:cs="Times New Roman"/>
                <w:sz w:val="28"/>
                <w:szCs w:val="28"/>
                <w:lang w:val="en-US" w:eastAsia="zh-Hans"/>
              </w:rPr>
              <m:t>n</m:t>
            </m:r>
            <m:ctrlPr>
              <w:rPr>
                <w:rFonts w:hint="default" w:ascii="Cambria Math" w:hAnsi="Cambria Math" w:eastAsia="宋体" w:cs="Times New Roman"/>
                <w:sz w:val="28"/>
                <w:szCs w:val="28"/>
                <w:lang w:val="en-US" w:eastAsia="zh-Hans"/>
              </w:rPr>
            </m:ctrlPr>
          </m:sub>
        </m:sSub>
        <m:r>
          <m:rPr>
            <m:sty m:val="p"/>
          </m:rPr>
          <w:rPr>
            <w:rFonts w:hint="default" w:ascii="Cambria Math" w:hAnsi="Cambria Math" w:eastAsia="宋体" w:cs="Times New Roman"/>
            <w:sz w:val="28"/>
            <w:szCs w:val="28"/>
            <w:lang w:val="en-US" w:eastAsia="zh-Hans"/>
          </w:rPr>
          <m:t>)</m:t>
        </m:r>
      </m:oMath>
      <w:r>
        <w:rPr>
          <w:rFonts w:hint="default" w:ascii="Times New Roman" w:hAnsi="Times New Roman" w:eastAsia="宋体" w:cs="Times New Roman"/>
          <w:sz w:val="28"/>
          <w:szCs w:val="28"/>
          <w:lang w:val="en-US" w:eastAsia="zh-Hans"/>
        </w:rPr>
        <w:t xml:space="preserve">  </w:t>
      </w:r>
      <w:r>
        <w:rPr>
          <w:rFonts w:hint="default" w:ascii="Times New Roman" w:hAnsi="Times New Roman" w:cs="Times New Roman"/>
          <w:sz w:val="28"/>
          <w:szCs w:val="28"/>
          <w:lang w:val="en-US" w:eastAsia="zh-CN"/>
        </w:rPr>
        <w:t xml:space="preserve">     </w:t>
      </w:r>
      <w:r>
        <w:rPr>
          <w:rFonts w:hint="default" w:ascii="Times New Roman" w:hAnsi="Times New Roman" w:eastAsia="宋体" w:cs="Times New Roman"/>
          <w:sz w:val="28"/>
          <w:szCs w:val="28"/>
          <w:lang w:val="en-US" w:eastAsia="zh-Hans"/>
        </w:rPr>
        <w:t xml:space="preserve">    （4）</w:t>
      </w:r>
    </w:p>
    <w:p>
      <w:pPr>
        <w:ind w:firstLine="560" w:firstLineChars="200"/>
        <w:rPr>
          <w:rFonts w:hint="default" w:ascii="Times New Roman" w:hAnsi="Times New Roman" w:eastAsia="宋体" w:cs="Times New Roman"/>
          <w:b/>
          <w:bCs/>
          <w:sz w:val="28"/>
          <w:szCs w:val="28"/>
          <w:lang w:val="en-US" w:eastAsia="zh-Hans"/>
        </w:rPr>
      </w:pPr>
      <w:bookmarkStart w:id="22" w:name="_Toc267602045"/>
      <w:bookmarkStart w:id="23" w:name="_Toc504214390"/>
      <w:bookmarkStart w:id="24" w:name="_Toc11745662"/>
      <w:r>
        <w:rPr>
          <w:rFonts w:hint="default" w:ascii="Times New Roman" w:hAnsi="Times New Roman" w:eastAsia="宋体" w:cs="Times New Roman"/>
          <w:b w:val="0"/>
          <w:bCs w:val="0"/>
          <w:sz w:val="28"/>
          <w:szCs w:val="28"/>
          <w:lang w:val="en-US" w:eastAsia="zh-Hans"/>
        </w:rPr>
        <w:t>（二）综合评价</w:t>
      </w:r>
      <w:bookmarkEnd w:id="22"/>
    </w:p>
    <w:bookmarkEnd w:id="23"/>
    <w:bookmarkEnd w:id="24"/>
    <w:p>
      <w:pPr>
        <w:pStyle w:val="5"/>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b w:val="0"/>
          <w:bCs w:val="0"/>
          <w:sz w:val="28"/>
          <w:szCs w:val="28"/>
        </w:rPr>
      </w:pPr>
      <w:bookmarkStart w:id="25" w:name="_Toc756813497"/>
      <w:r>
        <w:rPr>
          <w:rFonts w:hint="default" w:ascii="Times New Roman" w:hAnsi="Times New Roman" w:cs="Times New Roman"/>
          <w:b w:val="0"/>
          <w:bCs w:val="0"/>
          <w:sz w:val="28"/>
          <w:szCs w:val="28"/>
        </w:rPr>
        <w:t>1. 二级指标模糊评价</w:t>
      </w:r>
      <w:bookmarkEnd w:id="25"/>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b w:val="0"/>
          <w:bCs/>
          <w:color w:val="000000" w:themeColor="text1"/>
          <w:sz w:val="28"/>
          <w:szCs w:val="28"/>
          <w14:textFill>
            <w14:solidFill>
              <w14:schemeClr w14:val="tx1"/>
            </w14:solidFill>
          </w14:textFill>
        </w:rPr>
        <w:t>建立品牌定位评价的因素集合U</w:t>
      </w:r>
      <w:r>
        <w:rPr>
          <w:rFonts w:hint="default" w:ascii="Times New Roman" w:hAnsi="Times New Roman" w:cs="Times New Roman"/>
          <w:b w:val="0"/>
          <w:bCs/>
          <w:color w:val="000000" w:themeColor="text1"/>
          <w:sz w:val="28"/>
          <w:szCs w:val="28"/>
          <w:vertAlign w:val="subscript"/>
          <w14:textFill>
            <w14:solidFill>
              <w14:schemeClr w14:val="tx1"/>
            </w14:solidFill>
          </w14:textFill>
        </w:rPr>
        <w:t>11</w:t>
      </w:r>
      <w:r>
        <w:rPr>
          <w:rFonts w:hint="default" w:ascii="Times New Roman" w:hAnsi="Times New Roman" w:cs="Times New Roman"/>
          <w:b w:val="0"/>
          <w:bCs/>
          <w:color w:val="000000" w:themeColor="text1"/>
          <w:sz w:val="28"/>
          <w:szCs w:val="28"/>
          <w14:textFill>
            <w14:solidFill>
              <w14:schemeClr w14:val="tx1"/>
            </w14:solidFill>
          </w14:textFill>
        </w:rPr>
        <w:t>和评价等级集合V，那么</w:t>
      </w:r>
      <w:r>
        <w:rPr>
          <w:rFonts w:hint="default" w:ascii="Times New Roman" w:hAnsi="Times New Roman" w:cs="Times New Roman"/>
          <w:color w:val="000000" w:themeColor="text1"/>
          <w:sz w:val="28"/>
          <w:szCs w:val="28"/>
          <w14:textFill>
            <w14:solidFill>
              <w14:schemeClr w14:val="tx1"/>
            </w14:solidFill>
          </w14:textFill>
        </w:rPr>
        <w:t>两者的集合分别为：U</w:t>
      </w:r>
      <w:r>
        <w:rPr>
          <w:rFonts w:hint="default" w:ascii="Times New Roman" w:hAnsi="Times New Roman" w:cs="Times New Roman"/>
          <w:color w:val="000000" w:themeColor="text1"/>
          <w:sz w:val="28"/>
          <w:szCs w:val="28"/>
          <w:vertAlign w:val="subscript"/>
          <w14:textFill>
            <w14:solidFill>
              <w14:schemeClr w14:val="tx1"/>
            </w14:solidFill>
          </w14:textFill>
        </w:rPr>
        <w:t>11</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111</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112</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113</w:t>
      </w:r>
      <w:r>
        <w:rPr>
          <w:rFonts w:hint="default" w:ascii="Times New Roman" w:hAnsi="Times New Roman" w:cs="Times New Roman"/>
          <w:color w:val="000000" w:themeColor="text1"/>
          <w:sz w:val="28"/>
          <w:szCs w:val="28"/>
          <w14:textFill>
            <w14:solidFill>
              <w14:schemeClr w14:val="tx1"/>
            </w14:solidFill>
          </w14:textFill>
        </w:rPr>
        <w:t xml:space="preserve"> }，V={V</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，V</w:t>
      </w:r>
      <w:r>
        <w:rPr>
          <w:rFonts w:hint="default" w:ascii="Times New Roman" w:hAnsi="Times New Roman" w:cs="Times New Roman"/>
          <w:color w:val="000000" w:themeColor="text1"/>
          <w:sz w:val="28"/>
          <w:szCs w:val="28"/>
          <w:vertAlign w:val="subscript"/>
          <w14:textFill>
            <w14:solidFill>
              <w14:schemeClr w14:val="tx1"/>
            </w14:solidFill>
          </w14:textFill>
        </w:rPr>
        <w:t>2</w:t>
      </w:r>
      <w:r>
        <w:rPr>
          <w:rFonts w:hint="default" w:ascii="Times New Roman" w:hAnsi="Times New Roman" w:cs="Times New Roman"/>
          <w:color w:val="000000" w:themeColor="text1"/>
          <w:sz w:val="28"/>
          <w:szCs w:val="28"/>
          <w14:textFill>
            <w14:solidFill>
              <w14:schemeClr w14:val="tx1"/>
            </w14:solidFill>
          </w14:textFill>
        </w:rPr>
        <w:t>，V</w:t>
      </w:r>
      <w:r>
        <w:rPr>
          <w:rFonts w:hint="default" w:ascii="Times New Roman" w:hAnsi="Times New Roman" w:cs="Times New Roman"/>
          <w:color w:val="000000" w:themeColor="text1"/>
          <w:sz w:val="28"/>
          <w:szCs w:val="28"/>
          <w:vertAlign w:val="subscript"/>
          <w14:textFill>
            <w14:solidFill>
              <w14:schemeClr w14:val="tx1"/>
            </w14:solidFill>
          </w14:textFill>
        </w:rPr>
        <w:t>3</w:t>
      </w:r>
      <w:r>
        <w:rPr>
          <w:rFonts w:hint="default" w:ascii="Times New Roman" w:hAnsi="Times New Roman" w:cs="Times New Roman"/>
          <w:color w:val="000000" w:themeColor="text1"/>
          <w:sz w:val="28"/>
          <w:szCs w:val="28"/>
          <w14:textFill>
            <w14:solidFill>
              <w14:schemeClr w14:val="tx1"/>
            </w14:solidFill>
          </w14:textFill>
        </w:rPr>
        <w:t>，V</w:t>
      </w:r>
      <w:r>
        <w:rPr>
          <w:rFonts w:hint="default" w:ascii="Times New Roman" w:hAnsi="Times New Roman" w:cs="Times New Roman"/>
          <w:color w:val="000000" w:themeColor="text1"/>
          <w:sz w:val="28"/>
          <w:szCs w:val="28"/>
          <w:vertAlign w:val="subscript"/>
          <w14:textFill>
            <w14:solidFill>
              <w14:schemeClr w14:val="tx1"/>
            </w14:solidFill>
          </w14:textFill>
        </w:rPr>
        <w:t>4</w:t>
      </w:r>
      <w:r>
        <w:rPr>
          <w:rFonts w:hint="default" w:ascii="Times New Roman" w:hAnsi="Times New Roman" w:cs="Times New Roman"/>
          <w:color w:val="000000" w:themeColor="text1"/>
          <w:sz w:val="28"/>
          <w:szCs w:val="28"/>
          <w14:textFill>
            <w14:solidFill>
              <w14:schemeClr w14:val="tx1"/>
            </w14:solidFill>
          </w14:textFill>
        </w:rPr>
        <w:t>}。明确赛事发展使命U</w:t>
      </w:r>
      <w:r>
        <w:rPr>
          <w:rFonts w:hint="default" w:ascii="Times New Roman" w:hAnsi="Times New Roman" w:cs="Times New Roman"/>
          <w:color w:val="000000" w:themeColor="text1"/>
          <w:sz w:val="28"/>
          <w:szCs w:val="28"/>
          <w:vertAlign w:val="subscript"/>
          <w14:textFill>
            <w14:solidFill>
              <w14:schemeClr w14:val="tx1"/>
            </w14:solidFill>
          </w14:textFill>
        </w:rPr>
        <w:t>111</w:t>
      </w:r>
      <w:r>
        <w:rPr>
          <w:rFonts w:hint="default" w:ascii="Times New Roman" w:hAnsi="Times New Roman" w:cs="Times New Roman"/>
          <w:color w:val="000000" w:themeColor="text1"/>
          <w:sz w:val="28"/>
          <w:szCs w:val="28"/>
          <w14:textFill>
            <w14:solidFill>
              <w14:schemeClr w14:val="tx1"/>
            </w14:solidFill>
          </w14:textFill>
        </w:rPr>
        <w:t>的隶属度为：r</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=（0，0.6，0.2，0.2）；完整、科学的赛事传播方式U</w:t>
      </w:r>
      <w:r>
        <w:rPr>
          <w:rFonts w:hint="default" w:ascii="Times New Roman" w:hAnsi="Times New Roman" w:cs="Times New Roman"/>
          <w:color w:val="000000" w:themeColor="text1"/>
          <w:sz w:val="28"/>
          <w:szCs w:val="28"/>
          <w:vertAlign w:val="subscript"/>
          <w14:textFill>
            <w14:solidFill>
              <w14:schemeClr w14:val="tx1"/>
            </w14:solidFill>
          </w14:textFill>
        </w:rPr>
        <w:t>112</w:t>
      </w:r>
      <w:r>
        <w:rPr>
          <w:rFonts w:hint="default" w:ascii="Times New Roman" w:hAnsi="Times New Roman" w:cs="Times New Roman"/>
          <w:color w:val="000000" w:themeColor="text1"/>
          <w:sz w:val="28"/>
          <w:szCs w:val="28"/>
          <w14:textFill>
            <w14:solidFill>
              <w14:schemeClr w14:val="tx1"/>
            </w14:solidFill>
          </w14:textFill>
        </w:rPr>
        <w:t>的隶属度为：r</w:t>
      </w:r>
      <w:r>
        <w:rPr>
          <w:rFonts w:hint="default" w:ascii="Times New Roman" w:hAnsi="Times New Roman" w:cs="Times New Roman"/>
          <w:color w:val="000000" w:themeColor="text1"/>
          <w:sz w:val="28"/>
          <w:szCs w:val="28"/>
          <w:vertAlign w:val="subscript"/>
          <w14:textFill>
            <w14:solidFill>
              <w14:schemeClr w14:val="tx1"/>
            </w14:solidFill>
          </w14:textFill>
        </w:rPr>
        <w:t>2</w:t>
      </w:r>
      <w:r>
        <w:rPr>
          <w:rFonts w:hint="default" w:ascii="Times New Roman" w:hAnsi="Times New Roman" w:cs="Times New Roman"/>
          <w:color w:val="000000" w:themeColor="text1"/>
          <w:sz w:val="28"/>
          <w:szCs w:val="28"/>
          <w14:textFill>
            <w14:solidFill>
              <w14:schemeClr w14:val="tx1"/>
            </w14:solidFill>
          </w14:textFill>
        </w:rPr>
        <w:t>=（0.4，0.4，0.2，0）；立足于融合区域特色历史文化背景U</w:t>
      </w:r>
      <w:r>
        <w:rPr>
          <w:rFonts w:hint="default" w:ascii="Times New Roman" w:hAnsi="Times New Roman" w:cs="Times New Roman"/>
          <w:color w:val="000000" w:themeColor="text1"/>
          <w:sz w:val="28"/>
          <w:szCs w:val="28"/>
          <w:vertAlign w:val="subscript"/>
          <w14:textFill>
            <w14:solidFill>
              <w14:schemeClr w14:val="tx1"/>
            </w14:solidFill>
          </w14:textFill>
        </w:rPr>
        <w:t>113</w:t>
      </w:r>
      <w:r>
        <w:rPr>
          <w:rFonts w:hint="default" w:ascii="Times New Roman" w:hAnsi="Times New Roman" w:cs="Times New Roman"/>
          <w:color w:val="000000" w:themeColor="text1"/>
          <w:sz w:val="28"/>
          <w:szCs w:val="28"/>
          <w14:textFill>
            <w14:solidFill>
              <w14:schemeClr w14:val="tx1"/>
            </w14:solidFill>
          </w14:textFill>
        </w:rPr>
        <w:t>的隶属度为：r</w:t>
      </w:r>
      <w:r>
        <w:rPr>
          <w:rFonts w:hint="default" w:ascii="Times New Roman" w:hAnsi="Times New Roman" w:cs="Times New Roman"/>
          <w:color w:val="000000" w:themeColor="text1"/>
          <w:sz w:val="28"/>
          <w:szCs w:val="28"/>
          <w:vertAlign w:val="subscript"/>
          <w14:textFill>
            <w14:solidFill>
              <w14:schemeClr w14:val="tx1"/>
            </w14:solidFill>
          </w14:textFill>
        </w:rPr>
        <w:t>3</w:t>
      </w:r>
      <w:r>
        <w:rPr>
          <w:rFonts w:hint="default" w:ascii="Times New Roman" w:hAnsi="Times New Roman" w:cs="Times New Roman"/>
          <w:color w:val="000000" w:themeColor="text1"/>
          <w:sz w:val="28"/>
          <w:szCs w:val="28"/>
          <w14:textFill>
            <w14:solidFill>
              <w14:schemeClr w14:val="tx1"/>
            </w14:solidFill>
          </w14:textFill>
        </w:rPr>
        <w:t>=（0，0.4，0.4，0.2）。</w:t>
      </w:r>
      <w:r>
        <w:rPr>
          <w:rFonts w:hint="default" w:ascii="Times New Roman" w:hAnsi="Times New Roman" w:cs="Times New Roman"/>
          <w:b w:val="0"/>
          <w:bCs w:val="0"/>
          <w:color w:val="000000" w:themeColor="text1"/>
          <w:sz w:val="28"/>
          <w:szCs w:val="28"/>
          <w14:textFill>
            <w14:solidFill>
              <w14:schemeClr w14:val="tx1"/>
            </w14:solidFill>
          </w14:textFill>
        </w:rPr>
        <w:t>由此得出品牌定位U</w:t>
      </w:r>
      <w:r>
        <w:rPr>
          <w:rFonts w:hint="default" w:ascii="Times New Roman" w:hAnsi="Times New Roman" w:cs="Times New Roman"/>
          <w:b w:val="0"/>
          <w:bCs w:val="0"/>
          <w:color w:val="000000" w:themeColor="text1"/>
          <w:sz w:val="28"/>
          <w:szCs w:val="28"/>
          <w:vertAlign w:val="subscript"/>
          <w14:textFill>
            <w14:solidFill>
              <w14:schemeClr w14:val="tx1"/>
            </w14:solidFill>
          </w14:textFill>
        </w:rPr>
        <w:t>11</w:t>
      </w:r>
      <w:r>
        <w:rPr>
          <w:rFonts w:hint="default" w:ascii="Times New Roman" w:hAnsi="Times New Roman" w:cs="Times New Roman"/>
          <w:b w:val="0"/>
          <w:bCs w:val="0"/>
          <w:color w:val="000000" w:themeColor="text1"/>
          <w:sz w:val="28"/>
          <w:szCs w:val="28"/>
          <w14:textFill>
            <w14:solidFill>
              <w14:schemeClr w14:val="tx1"/>
            </w14:solidFill>
          </w14:textFill>
        </w:rPr>
        <w:t>的评价矩阵为</w:t>
      </w:r>
      <w:r>
        <w:rPr>
          <w:rFonts w:hint="default" w:ascii="Times New Roman" w:hAnsi="Times New Roman" w:cs="Times New Roman"/>
          <w:color w:val="000000" w:themeColor="text1"/>
          <w:sz w:val="28"/>
          <w:szCs w:val="28"/>
          <w14:textFill>
            <w14:solidFill>
              <w14:schemeClr w14:val="tx1"/>
            </w14:solidFill>
          </w14:textFill>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cs="Times New Roman"/>
          <w:color w:val="000000" w:themeColor="text1"/>
          <w:sz w:val="28"/>
          <w:szCs w:val="28"/>
          <w14:textFill>
            <w14:solidFill>
              <w14:schemeClr w14:val="tx1"/>
            </w14:solidFill>
          </w14:textFill>
        </w:rPr>
      </w:pPr>
      <m:oMathPara>
        <m:oMath>
          <m:r>
            <m:rPr/>
            <w:rPr>
              <w:rFonts w:hint="default" w:ascii="Cambria Math" w:hAnsi="Cambria Math" w:cs="Times New Roman"/>
              <w:color w:val="000000" w:themeColor="text1"/>
              <w:sz w:val="28"/>
              <w:szCs w:val="28"/>
              <w14:textFill>
                <w14:solidFill>
                  <w14:schemeClr w14:val="tx1"/>
                </w14:solidFill>
              </w14:textFill>
            </w:rPr>
            <m:t>R=</m:t>
          </m:r>
          <m:d>
            <m:dPr>
              <m:begChr m:val="["/>
              <m:endChr m:val="]"/>
              <m:ctrlPr>
                <w:rPr>
                  <w:rFonts w:hint="default" w:ascii="Cambria Math" w:hAnsi="Cambria Math" w:cs="Times New Roman"/>
                  <w:i/>
                  <w:color w:val="000000" w:themeColor="text1"/>
                  <w:sz w:val="28"/>
                  <w:szCs w:val="28"/>
                  <w14:textFill>
                    <w14:solidFill>
                      <w14:schemeClr w14:val="tx1"/>
                    </w14:solidFill>
                  </w14:textFill>
                </w:rPr>
              </m:ctrlPr>
            </m:dPr>
            <m:e>
              <m:m>
                <m:mPr>
                  <m:mcs>
                    <m:mc>
                      <m:mcPr>
                        <m:count m:val="4"/>
                        <m:mcJc m:val="center"/>
                      </m:mcPr>
                    </m:mc>
                  </m:mcs>
                  <m:ctrlPr>
                    <w:rPr>
                      <w:rFonts w:hint="default" w:ascii="Cambria Math" w:hAnsi="Cambria Math" w:cs="Times New Roman"/>
                      <w:i w:val="0"/>
                      <w:iCs/>
                      <w:color w:val="000000" w:themeColor="text1"/>
                      <w:sz w:val="28"/>
                      <w:szCs w:val="28"/>
                      <w14:textFill>
                        <w14:solidFill>
                          <w14:schemeClr w14:val="tx1"/>
                        </w14:solidFill>
                      </w14:textFill>
                    </w:rPr>
                  </m:ctrlPr>
                </m:mPr>
                <m:mr>
                  <m:e>
                    <m:r>
                      <m:rPr>
                        <m:sty m:val="p"/>
                      </m:rPr>
                      <w:rPr>
                        <w:rFonts w:hint="default" w:ascii="Cambria Math" w:hAnsi="Cambria Math" w:cs="Times New Roman"/>
                        <w:color w:val="000000" w:themeColor="text1"/>
                        <w:sz w:val="28"/>
                        <w:szCs w:val="28"/>
                        <w14:textFill>
                          <w14:solidFill>
                            <w14:schemeClr w14:val="tx1"/>
                          </w14:solidFill>
                        </w14:textFill>
                      </w:rPr>
                      <m:t>0</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m:t>
                    </m:r>
                    <m:r>
                      <m:rPr>
                        <m:sty m:val="p"/>
                      </m:rPr>
                      <w:rPr>
                        <w:rFonts w:hint="default" w:ascii="Cambria Math" w:hAnsi="Cambria Math" w:eastAsia="Cambria Math" w:cs="Times New Roman"/>
                        <w:color w:val="000000" w:themeColor="text1"/>
                        <w:sz w:val="28"/>
                        <w:szCs w:val="28"/>
                        <w:lang w:val="en-US" w:eastAsia="zh-Hans"/>
                        <w14:textFill>
                          <w14:solidFill>
                            <w14:schemeClr w14:val="tx1"/>
                          </w14:solidFill>
                        </w14:textFill>
                      </w:rPr>
                      <m:t>.</m:t>
                    </m:r>
                    <m:r>
                      <m:rPr>
                        <m:sty m:val="p"/>
                      </m:rPr>
                      <w:rPr>
                        <w:rFonts w:hint="default" w:ascii="Cambria Math" w:hAnsi="Cambria Math" w:eastAsia="Cambria Math" w:cs="Times New Roman"/>
                        <w:color w:val="000000" w:themeColor="text1"/>
                        <w:sz w:val="28"/>
                        <w:szCs w:val="28"/>
                        <w:lang w:eastAsia="zh-Hans"/>
                        <w14:textFill>
                          <w14:solidFill>
                            <w14:schemeClr w14:val="tx1"/>
                          </w14:solidFill>
                        </w14:textFill>
                      </w:rPr>
                      <m:t>6</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0.2</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0.2</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mr>
                <m:mr>
                  <m:e>
                    <m:r>
                      <m:rPr>
                        <m:sty m:val="p"/>
                      </m:rPr>
                      <w:rPr>
                        <w:rFonts w:hint="default" w:ascii="Cambria Math" w:hAnsi="Cambria Math" w:eastAsia="Cambria Math" w:cs="Times New Roman"/>
                        <w:color w:val="000000" w:themeColor="text1"/>
                        <w:sz w:val="28"/>
                        <w:szCs w:val="28"/>
                        <w14:textFill>
                          <w14:solidFill>
                            <w14:schemeClr w14:val="tx1"/>
                          </w14:solidFill>
                        </w14:textFill>
                      </w:rPr>
                      <m:t>0.4</m:t>
                    </m:r>
                    <m:ctrlPr>
                      <w:rPr>
                        <w:rFonts w:hint="default" w:ascii="Cambria Math" w:hAnsi="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cs="Times New Roman"/>
                        <w:color w:val="000000" w:themeColor="text1"/>
                        <w:sz w:val="28"/>
                        <w:szCs w:val="28"/>
                        <w14:textFill>
                          <w14:solidFill>
                            <w14:schemeClr w14:val="tx1"/>
                          </w14:solidFill>
                        </w14:textFill>
                      </w:rPr>
                      <m:t>0</m:t>
                    </m:r>
                    <m:r>
                      <m:rPr>
                        <m:sty m:val="p"/>
                      </m:rPr>
                      <w:rPr>
                        <w:rFonts w:hint="default" w:ascii="Cambria Math" w:hAnsi="Cambria Math" w:cs="Times New Roman"/>
                        <w:color w:val="000000" w:themeColor="text1"/>
                        <w:sz w:val="28"/>
                        <w:szCs w:val="28"/>
                        <w:lang w:val="en-US" w:eastAsia="zh-Hans"/>
                        <w14:textFill>
                          <w14:solidFill>
                            <w14:schemeClr w14:val="tx1"/>
                          </w14:solidFill>
                        </w14:textFill>
                      </w:rPr>
                      <m:t>.</m:t>
                    </m:r>
                    <m:r>
                      <m:rPr>
                        <m:sty m:val="p"/>
                      </m:rPr>
                      <w:rPr>
                        <w:rFonts w:hint="default" w:ascii="Cambria Math" w:hAnsi="Cambria Math" w:cs="Times New Roman"/>
                        <w:color w:val="000000" w:themeColor="text1"/>
                        <w:sz w:val="28"/>
                        <w:szCs w:val="28"/>
                        <w:lang w:eastAsia="zh-Hans"/>
                        <w14:textFill>
                          <w14:solidFill>
                            <w14:schemeClr w14:val="tx1"/>
                          </w14:solidFill>
                        </w14:textFill>
                      </w:rPr>
                      <m:t>4</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0.2</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mr>
                <m:mr>
                  <m:e>
                    <m:r>
                      <m:rPr>
                        <m:sty m:val="p"/>
                      </m:rPr>
                      <w:rPr>
                        <w:rFonts w:hint="default" w:ascii="Cambria Math" w:hAnsi="Cambria Math" w:cs="Times New Roman"/>
                        <w:color w:val="000000" w:themeColor="text1"/>
                        <w:sz w:val="28"/>
                        <w:szCs w:val="28"/>
                        <w14:textFill>
                          <w14:solidFill>
                            <w14:schemeClr w14:val="tx1"/>
                          </w14:solidFill>
                        </w14:textFill>
                      </w:rPr>
                      <m:t>0</m:t>
                    </m:r>
                    <m:ctrlPr>
                      <w:rPr>
                        <w:rFonts w:hint="default" w:ascii="Cambria Math" w:hAnsi="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cs="Times New Roman"/>
                        <w:color w:val="000000" w:themeColor="text1"/>
                        <w:sz w:val="28"/>
                        <w:szCs w:val="28"/>
                        <w14:textFill>
                          <w14:solidFill>
                            <w14:schemeClr w14:val="tx1"/>
                          </w14:solidFill>
                        </w14:textFill>
                      </w:rPr>
                      <m:t>0.4</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0.4</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e>
                    <m:r>
                      <m:rPr>
                        <m:sty m:val="p"/>
                      </m:rPr>
                      <w:rPr>
                        <w:rFonts w:hint="default" w:ascii="Cambria Math" w:hAnsi="Cambria Math" w:eastAsia="Cambria Math" w:cs="Times New Roman"/>
                        <w:color w:val="000000" w:themeColor="text1"/>
                        <w:sz w:val="28"/>
                        <w:szCs w:val="28"/>
                        <w14:textFill>
                          <w14:solidFill>
                            <w14:schemeClr w14:val="tx1"/>
                          </w14:solidFill>
                        </w14:textFill>
                      </w:rPr>
                      <m:t>0.2</m:t>
                    </m:r>
                    <m:ctrlPr>
                      <w:rPr>
                        <w:rFonts w:hint="default" w:ascii="Cambria Math" w:hAnsi="Cambria Math" w:eastAsia="Cambria Math" w:cs="Times New Roman"/>
                        <w:i w:val="0"/>
                        <w:iCs/>
                        <w:color w:val="000000" w:themeColor="text1"/>
                        <w:sz w:val="28"/>
                        <w:szCs w:val="28"/>
                        <w14:textFill>
                          <w14:solidFill>
                            <w14:schemeClr w14:val="tx1"/>
                          </w14:solidFill>
                        </w14:textFill>
                      </w:rPr>
                    </m:ctrlPr>
                  </m:e>
                </m:mr>
              </m:m>
              <m:ctrlPr>
                <w:rPr>
                  <w:rFonts w:hint="default" w:ascii="Cambria Math" w:hAnsi="Cambria Math" w:cs="Times New Roman"/>
                  <w:i/>
                  <w:color w:val="000000" w:themeColor="text1"/>
                  <w:sz w:val="28"/>
                  <w:szCs w:val="28"/>
                  <w14:textFill>
                    <w14:solidFill>
                      <w14:schemeClr w14:val="tx1"/>
                    </w14:solidFill>
                  </w14:textFill>
                </w:rPr>
              </m:ctrlPr>
            </m:e>
          </m:d>
        </m:oMath>
      </m:oMathPara>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color w:val="auto"/>
          <w:sz w:val="28"/>
          <w:szCs w:val="28"/>
          <w:lang w:eastAsia="zh-Hans"/>
        </w:rPr>
      </w:pP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111</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112</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113</w:t>
      </w:r>
      <w:r>
        <w:rPr>
          <w:rFonts w:hint="default" w:ascii="Times New Roman" w:hAnsi="Times New Roman" w:cs="Times New Roman"/>
          <w:color w:val="000000" w:themeColor="text1"/>
          <w:sz w:val="28"/>
          <w:szCs w:val="28"/>
          <w14:textFill>
            <w14:solidFill>
              <w14:schemeClr w14:val="tx1"/>
            </w14:solidFill>
          </w14:textFill>
        </w:rPr>
        <w:t>的权重为（0.3342，0.3082，0.3576），</w:t>
      </w:r>
      <w:r>
        <w:rPr>
          <w:rFonts w:hint="default" w:ascii="Times New Roman" w:hAnsi="Times New Roman" w:cs="Times New Roman"/>
          <w:color w:val="auto"/>
          <w:sz w:val="28"/>
          <w:szCs w:val="28"/>
        </w:rPr>
        <w:t>可以得出U</w:t>
      </w:r>
      <w:r>
        <w:rPr>
          <w:rFonts w:hint="default" w:ascii="Times New Roman" w:hAnsi="Times New Roman" w:cs="Times New Roman"/>
          <w:color w:val="auto"/>
          <w:sz w:val="28"/>
          <w:szCs w:val="28"/>
          <w:vertAlign w:val="subscript"/>
        </w:rPr>
        <w:t>11</w:t>
      </w:r>
      <w:r>
        <w:rPr>
          <w:rFonts w:hint="default" w:ascii="Times New Roman" w:hAnsi="Times New Roman" w:cs="Times New Roman"/>
          <w:color w:val="auto"/>
          <w:sz w:val="28"/>
          <w:szCs w:val="28"/>
        </w:rPr>
        <w:t>的综合评价结果为U</w:t>
      </w:r>
      <w:r>
        <w:rPr>
          <w:rFonts w:hint="default" w:ascii="Times New Roman" w:hAnsi="Times New Roman" w:cs="Times New Roman"/>
          <w:color w:val="auto"/>
          <w:sz w:val="28"/>
          <w:szCs w:val="28"/>
          <w:vertAlign w:val="subscript"/>
        </w:rPr>
        <w:t>11</w:t>
      </w:r>
      <w:r>
        <w:rPr>
          <w:rFonts w:hint="default" w:ascii="Times New Roman" w:hAnsi="Times New Roman" w:cs="Times New Roman"/>
          <w:color w:val="auto"/>
          <w:sz w:val="28"/>
          <w:szCs w:val="28"/>
        </w:rPr>
        <w:t>=（0.1233，0.4668，0.2715，0.1384），</w:t>
      </w:r>
      <w:r>
        <w:rPr>
          <w:rFonts w:hint="default" w:ascii="Times New Roman" w:hAnsi="Times New Roman" w:cs="Times New Roman"/>
          <w:color w:val="auto"/>
          <w:sz w:val="28"/>
          <w:szCs w:val="28"/>
          <w:lang w:val="en-US" w:eastAsia="zh-Hans"/>
        </w:rPr>
        <w:t>根据最大隶属度方法评判，包头市第十四届运动会赛</w:t>
      </w:r>
      <w:r>
        <w:rPr>
          <w:rFonts w:hint="default" w:ascii="Times New Roman" w:hAnsi="Times New Roman" w:cs="Times New Roman"/>
          <w:b w:val="0"/>
          <w:bCs w:val="0"/>
          <w:color w:val="auto"/>
          <w:sz w:val="28"/>
          <w:szCs w:val="28"/>
          <w:lang w:val="en-US" w:eastAsia="zh-Hans"/>
        </w:rPr>
        <w:t>事</w:t>
      </w:r>
      <w:r>
        <w:rPr>
          <w:rFonts w:hint="default" w:ascii="Times New Roman" w:hAnsi="Times New Roman" w:cs="Times New Roman"/>
          <w:b w:val="0"/>
          <w:bCs w:val="0"/>
          <w:color w:val="auto"/>
          <w:sz w:val="28"/>
          <w:szCs w:val="28"/>
        </w:rPr>
        <w:t>品牌定位</w:t>
      </w:r>
      <w:r>
        <w:rPr>
          <w:rFonts w:hint="default" w:ascii="Times New Roman" w:hAnsi="Times New Roman" w:cs="Times New Roman"/>
          <w:b w:val="0"/>
          <w:bCs w:val="0"/>
          <w:color w:val="auto"/>
          <w:sz w:val="28"/>
          <w:szCs w:val="28"/>
          <w:lang w:val="en-US" w:eastAsia="zh-Hans"/>
        </w:rPr>
        <w:t>的</w:t>
      </w:r>
      <w:r>
        <w:rPr>
          <w:rFonts w:hint="default" w:ascii="Times New Roman" w:hAnsi="Times New Roman" w:cs="Times New Roman"/>
          <w:color w:val="auto"/>
          <w:sz w:val="28"/>
          <w:szCs w:val="28"/>
          <w:lang w:val="en-US" w:eastAsia="zh-Hans"/>
        </w:rPr>
        <w:t>评价结果隶属</w:t>
      </w:r>
      <w:r>
        <w:rPr>
          <w:rFonts w:hint="default" w:ascii="Times New Roman" w:hAnsi="Times New Roman" w:cs="Times New Roman"/>
          <w:color w:val="auto"/>
          <w:sz w:val="28"/>
          <w:szCs w:val="28"/>
          <w:lang w:eastAsia="zh-Hans"/>
        </w:rPr>
        <w:t>“一般”</w:t>
      </w:r>
      <w:r>
        <w:rPr>
          <w:rFonts w:hint="default" w:ascii="Times New Roman" w:hAnsi="Times New Roman" w:cs="Times New Roman"/>
          <w:color w:val="auto"/>
          <w:sz w:val="28"/>
          <w:szCs w:val="28"/>
          <w:lang w:val="en-US" w:eastAsia="zh-Hans"/>
        </w:rPr>
        <w:t>级评语，隶属度为</w:t>
      </w:r>
      <w:r>
        <w:rPr>
          <w:rFonts w:hint="default" w:ascii="Times New Roman" w:hAnsi="Times New Roman" w:cs="Times New Roman"/>
          <w:color w:val="auto"/>
          <w:sz w:val="28"/>
          <w:szCs w:val="28"/>
          <w:lang w:eastAsia="zh-Hans"/>
        </w:rPr>
        <w:t>0</w:t>
      </w:r>
      <w:r>
        <w:rPr>
          <w:rFonts w:hint="default" w:ascii="Times New Roman" w:hAnsi="Times New Roman" w:cs="Times New Roman"/>
          <w:color w:val="auto"/>
          <w:sz w:val="28"/>
          <w:szCs w:val="28"/>
          <w:lang w:val="en-US" w:eastAsia="zh-Hans"/>
        </w:rPr>
        <w:t>.</w:t>
      </w:r>
      <w:r>
        <w:rPr>
          <w:rFonts w:hint="default" w:ascii="Times New Roman" w:hAnsi="Times New Roman" w:cs="Times New Roman"/>
          <w:color w:val="auto"/>
          <w:sz w:val="28"/>
          <w:szCs w:val="28"/>
          <w:lang w:eastAsia="zh-Hans"/>
        </w:rPr>
        <w:t>4688。</w:t>
      </w:r>
      <w:r>
        <w:rPr>
          <w:rFonts w:hint="default" w:ascii="Times New Roman" w:hAnsi="Times New Roman" w:cs="Times New Roman"/>
          <w:b w:val="0"/>
          <w:bCs/>
          <w:color w:val="000000" w:themeColor="text1"/>
          <w:sz w:val="28"/>
          <w:szCs w:val="28"/>
          <w14:textFill>
            <w14:solidFill>
              <w14:schemeClr w14:val="tx1"/>
            </w14:solidFill>
          </w14:textFill>
        </w:rPr>
        <w:t>按照上述方法对</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二级</w:t>
      </w:r>
      <w:r>
        <w:rPr>
          <w:rFonts w:hint="default" w:ascii="Times New Roman" w:hAnsi="Times New Roman" w:cs="Times New Roman"/>
          <w:b w:val="0"/>
          <w:bCs/>
          <w:color w:val="000000" w:themeColor="text1"/>
          <w:sz w:val="28"/>
          <w:szCs w:val="28"/>
          <w14:textFill>
            <w14:solidFill>
              <w14:schemeClr w14:val="tx1"/>
            </w14:solidFill>
          </w14:textFill>
        </w:rPr>
        <w:t>指标进行计算，计算结果汇总见表3。</w:t>
      </w:r>
    </w:p>
    <w:p>
      <w:pPr>
        <w:pStyle w:val="34"/>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黑体" w:cs="Times New Roman"/>
          <w:color w:val="000000" w:themeColor="text1"/>
          <w:sz w:val="24"/>
          <w:szCs w:val="24"/>
          <w:lang w:val="en-US" w:eastAsia="zh-Hans"/>
          <w14:textFill>
            <w14:solidFill>
              <w14:schemeClr w14:val="tx1"/>
            </w14:solidFill>
          </w14:textFill>
        </w:rPr>
      </w:pPr>
    </w:p>
    <w:p>
      <w:pPr>
        <w:pStyle w:val="34"/>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黑体" w:cs="Times New Roman"/>
          <w:color w:val="000000" w:themeColor="text1"/>
          <w:sz w:val="24"/>
          <w:szCs w:val="24"/>
          <w:lang w:val="en-US" w:eastAsia="zh-Hans"/>
          <w14:textFill>
            <w14:solidFill>
              <w14:schemeClr w14:val="tx1"/>
            </w14:solidFill>
          </w14:textFill>
        </w:rPr>
      </w:pPr>
    </w:p>
    <w:p>
      <w:pPr>
        <w:pStyle w:val="34"/>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黑体" w:cs="Times New Roman"/>
          <w:color w:val="000000" w:themeColor="text1"/>
          <w:sz w:val="24"/>
          <w:szCs w:val="24"/>
          <w:lang w:val="en-US" w:eastAsia="zh-Hans"/>
          <w14:textFill>
            <w14:solidFill>
              <w14:schemeClr w14:val="tx1"/>
            </w14:solidFill>
          </w14:textFill>
        </w:rPr>
      </w:pPr>
    </w:p>
    <w:p>
      <w:pPr>
        <w:pStyle w:val="34"/>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黑体" w:cs="Times New Roman"/>
          <w:color w:val="000000" w:themeColor="text1"/>
          <w:sz w:val="24"/>
          <w:szCs w:val="24"/>
          <w:lang w:val="en-US" w:eastAsia="zh-Hans"/>
          <w14:textFill>
            <w14:solidFill>
              <w14:schemeClr w14:val="tx1"/>
            </w14:solidFill>
          </w14:textFill>
        </w:rPr>
      </w:pPr>
      <w:r>
        <w:rPr>
          <w:rFonts w:hint="default" w:ascii="Times New Roman" w:hAnsi="Times New Roman" w:eastAsia="黑体" w:cs="Times New Roman"/>
          <w:color w:val="000000" w:themeColor="text1"/>
          <w:sz w:val="24"/>
          <w:szCs w:val="24"/>
          <w:lang w:val="en-US" w:eastAsia="zh-Hans"/>
          <w14:textFill>
            <w14:solidFill>
              <w14:schemeClr w14:val="tx1"/>
            </w14:solidFill>
          </w14:textFill>
        </w:rPr>
        <w:t>表</w:t>
      </w:r>
      <w:r>
        <w:rPr>
          <w:rFonts w:hint="default" w:ascii="Times New Roman" w:hAnsi="Times New Roman" w:eastAsia="黑体" w:cs="Times New Roman"/>
          <w:color w:val="000000" w:themeColor="text1"/>
          <w:sz w:val="24"/>
          <w:szCs w:val="24"/>
          <w:lang w:eastAsia="zh-Hans"/>
          <w14:textFill>
            <w14:solidFill>
              <w14:schemeClr w14:val="tx1"/>
            </w14:solidFill>
          </w14:textFill>
        </w:rPr>
        <w:t>3</w:t>
      </w:r>
      <w:r>
        <w:rPr>
          <w:rFonts w:hint="default" w:ascii="Times New Roman" w:hAnsi="Times New Roman" w:eastAsia="黑体" w:cs="Times New Roman"/>
          <w:color w:val="000000" w:themeColor="text1"/>
          <w:sz w:val="24"/>
          <w:szCs w:val="24"/>
          <w:lang w:val="en-US" w:eastAsia="zh-Hans"/>
          <w14:textFill>
            <w14:solidFill>
              <w14:schemeClr w14:val="tx1"/>
            </w14:solidFill>
          </w14:textFill>
        </w:rPr>
        <w:t>二级指标模糊评价结果表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06"/>
        <w:gridCol w:w="3206"/>
        <w:gridCol w:w="3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tcPr>
          <w:p>
            <w:pPr>
              <w:spacing w:line="360" w:lineRule="auto"/>
              <w:ind w:left="0" w:leftChars="0" w:firstLine="0" w:firstLineChars="0"/>
              <w:jc w:val="center"/>
              <w:rPr>
                <w:rFonts w:hint="default" w:ascii="Times New Roman" w:hAnsi="Times New Roman" w:cs="Times New Roman" w:eastAsiaTheme="minorEastAsia"/>
                <w:b w:val="0"/>
                <w:bCs/>
                <w:color w:val="000000" w:themeColor="text1"/>
                <w:sz w:val="24"/>
                <w:szCs w:val="24"/>
                <w:vertAlign w:val="baseline"/>
                <w:lang w:val="en-US" w:eastAsia="zh-Hans"/>
                <w14:textFill>
                  <w14:solidFill>
                    <w14:schemeClr w14:val="tx1"/>
                  </w14:solidFill>
                </w14:textFill>
              </w:rPr>
            </w:pPr>
            <w:r>
              <w:rPr>
                <w:rFonts w:hint="default" w:ascii="Times New Roman" w:hAnsi="Times New Roman" w:cs="Times New Roman"/>
                <w:b w:val="0"/>
                <w:bCs/>
                <w:color w:val="000000" w:themeColor="text1"/>
                <w:sz w:val="24"/>
                <w:szCs w:val="24"/>
                <w:vertAlign w:val="baseline"/>
                <w:lang w:val="en-US" w:eastAsia="zh-Hans"/>
                <w14:textFill>
                  <w14:solidFill>
                    <w14:schemeClr w14:val="tx1"/>
                  </w14:solidFill>
                </w14:textFill>
              </w:rPr>
              <w:t>二级指标</w:t>
            </w:r>
          </w:p>
        </w:tc>
        <w:tc>
          <w:tcPr>
            <w:tcW w:w="3206" w:type="dxa"/>
          </w:tcPr>
          <w:p>
            <w:pPr>
              <w:spacing w:line="360" w:lineRule="auto"/>
              <w:ind w:left="0" w:leftChars="0" w:firstLine="0" w:firstLineChars="0"/>
              <w:jc w:val="center"/>
              <w:rPr>
                <w:rFonts w:hint="default" w:ascii="Times New Roman" w:hAnsi="Times New Roman" w:cs="Times New Roman" w:eastAsiaTheme="minorEastAsia"/>
                <w:b w:val="0"/>
                <w:bCs/>
                <w:color w:val="000000" w:themeColor="text1"/>
                <w:sz w:val="24"/>
                <w:szCs w:val="24"/>
                <w:vertAlign w:val="baseline"/>
                <w:lang w:val="en-US" w:eastAsia="zh-Hans"/>
                <w14:textFill>
                  <w14:solidFill>
                    <w14:schemeClr w14:val="tx1"/>
                  </w14:solidFill>
                </w14:textFill>
              </w:rPr>
            </w:pPr>
            <w:r>
              <w:rPr>
                <w:rFonts w:hint="default" w:ascii="Times New Roman" w:hAnsi="Times New Roman" w:cs="Times New Roman"/>
                <w:b w:val="0"/>
                <w:bCs/>
                <w:color w:val="000000" w:themeColor="text1"/>
                <w:sz w:val="24"/>
                <w:szCs w:val="24"/>
                <w:vertAlign w:val="baseline"/>
                <w:lang w:val="en-US" w:eastAsia="zh-Hans"/>
                <w14:textFill>
                  <w14:solidFill>
                    <w14:schemeClr w14:val="tx1"/>
                  </w14:solidFill>
                </w14:textFill>
              </w:rPr>
              <w:t>评价结果</w:t>
            </w:r>
          </w:p>
        </w:tc>
        <w:tc>
          <w:tcPr>
            <w:tcW w:w="3206" w:type="dxa"/>
          </w:tcPr>
          <w:p>
            <w:pPr>
              <w:spacing w:line="360" w:lineRule="auto"/>
              <w:ind w:left="0" w:leftChars="0" w:firstLine="0" w:firstLineChars="0"/>
              <w:jc w:val="center"/>
              <w:rPr>
                <w:rFonts w:hint="default" w:ascii="Times New Roman" w:hAnsi="Times New Roman" w:cs="Times New Roman" w:eastAsiaTheme="minorEastAsia"/>
                <w:b w:val="0"/>
                <w:bCs/>
                <w:color w:val="000000" w:themeColor="text1"/>
                <w:sz w:val="24"/>
                <w:szCs w:val="24"/>
                <w:vertAlign w:val="baseline"/>
                <w:lang w:val="en-US" w:eastAsia="zh-Hans"/>
                <w14:textFill>
                  <w14:solidFill>
                    <w14:schemeClr w14:val="tx1"/>
                  </w14:solidFill>
                </w14:textFill>
              </w:rPr>
            </w:pPr>
            <w:r>
              <w:rPr>
                <w:rFonts w:hint="default" w:ascii="Times New Roman" w:hAnsi="Times New Roman" w:cs="Times New Roman"/>
                <w:b w:val="0"/>
                <w:bCs/>
                <w:color w:val="000000" w:themeColor="text1"/>
                <w:sz w:val="24"/>
                <w:szCs w:val="24"/>
                <w:vertAlign w:val="baseline"/>
                <w:lang w:val="en-US" w:eastAsia="zh-Hans"/>
                <w14:textFill>
                  <w14:solidFill>
                    <w14:schemeClr w14:val="tx1"/>
                  </w14:solidFill>
                </w14:textFill>
              </w:rPr>
              <w:t>隶属度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品</w:t>
            </w:r>
            <w:r>
              <w:rPr>
                <w:rStyle w:val="35"/>
                <w:rFonts w:hint="default" w:ascii="Times New Roman" w:hAnsi="Times New Roman" w:cs="Times New Roman"/>
                <w:color w:val="auto"/>
                <w:sz w:val="24"/>
                <w:szCs w:val="24"/>
                <w:lang w:val="en-US" w:eastAsia="zh-CN" w:bidi="ar"/>
              </w:rPr>
              <w:t>牌定位</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11</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4688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eastAsia="zh-CN" w:bidi="ar"/>
              </w:rPr>
              <w:t>品牌打造U</w:t>
            </w:r>
            <w:r>
              <w:rPr>
                <w:rFonts w:hint="default" w:ascii="Times New Roman" w:hAnsi="Times New Roman" w:eastAsia="宋体" w:cs="Times New Roman"/>
                <w:i w:val="0"/>
                <w:iCs w:val="0"/>
                <w:color w:val="auto"/>
                <w:kern w:val="0"/>
                <w:sz w:val="24"/>
                <w:szCs w:val="24"/>
                <w:u w:val="none"/>
                <w:vertAlign w:val="subscript"/>
                <w:lang w:eastAsia="zh-CN" w:bidi="ar"/>
              </w:rPr>
              <w:t>12</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4918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品</w:t>
            </w:r>
            <w:r>
              <w:rPr>
                <w:rStyle w:val="35"/>
                <w:rFonts w:hint="default" w:ascii="Times New Roman" w:hAnsi="Times New Roman" w:cs="Times New Roman"/>
                <w:color w:val="auto"/>
                <w:sz w:val="24"/>
                <w:szCs w:val="24"/>
                <w:lang w:val="en-US" w:eastAsia="zh-CN" w:bidi="ar"/>
              </w:rPr>
              <w:t>牌推广</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13</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3101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品</w:t>
            </w:r>
            <w:r>
              <w:rPr>
                <w:rStyle w:val="35"/>
                <w:rFonts w:hint="default" w:ascii="Times New Roman" w:hAnsi="Times New Roman" w:cs="Times New Roman"/>
                <w:color w:val="auto"/>
                <w:sz w:val="24"/>
                <w:szCs w:val="24"/>
                <w:lang w:val="en-US" w:eastAsia="zh-CN" w:bidi="ar"/>
              </w:rPr>
              <w:t>牌传播</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14</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3261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highlight w:val="none"/>
                <w:u w:val="none"/>
                <w:lang w:val="en-US" w:eastAsia="zh-CN" w:bidi="ar"/>
              </w:rPr>
              <w:t>赛事基</w:t>
            </w:r>
            <w:r>
              <w:rPr>
                <w:rStyle w:val="35"/>
                <w:rFonts w:hint="default" w:ascii="Times New Roman" w:hAnsi="Times New Roman" w:cs="Times New Roman"/>
                <w:color w:val="auto"/>
                <w:sz w:val="24"/>
                <w:szCs w:val="24"/>
                <w:highlight w:val="none"/>
                <w:lang w:val="en-US" w:eastAsia="zh-CN" w:bidi="ar"/>
              </w:rPr>
              <w:t>础设施</w:t>
            </w:r>
            <w:r>
              <w:rPr>
                <w:rStyle w:val="35"/>
                <w:rFonts w:hint="default" w:ascii="Times New Roman" w:hAnsi="Times New Roman" w:eastAsia="宋体" w:cs="Times New Roman"/>
                <w:color w:val="auto"/>
                <w:sz w:val="24"/>
                <w:szCs w:val="24"/>
                <w:highlight w:val="none"/>
                <w:lang w:val="en-US" w:eastAsia="zh-Hans" w:bidi="ar"/>
              </w:rPr>
              <w:t>建设</w:t>
            </w:r>
            <w:r>
              <w:rPr>
                <w:rStyle w:val="35"/>
                <w:rFonts w:hint="default" w:ascii="Times New Roman" w:hAnsi="Times New Roman" w:eastAsia="宋体" w:cs="Times New Roman"/>
                <w:color w:val="auto"/>
                <w:sz w:val="24"/>
                <w:szCs w:val="24"/>
                <w:highlight w:val="none"/>
                <w:lang w:eastAsia="zh-Hans" w:bidi="ar"/>
              </w:rPr>
              <w:t>U</w:t>
            </w:r>
            <w:r>
              <w:rPr>
                <w:rStyle w:val="35"/>
                <w:rFonts w:hint="default" w:ascii="Times New Roman" w:hAnsi="Times New Roman" w:eastAsia="宋体" w:cs="Times New Roman"/>
                <w:color w:val="auto"/>
                <w:sz w:val="24"/>
                <w:szCs w:val="24"/>
                <w:highlight w:val="none"/>
                <w:vertAlign w:val="subscript"/>
                <w:lang w:eastAsia="zh-Hans" w:bidi="ar"/>
              </w:rPr>
              <w:t>21</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4418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赛事运营</w:t>
            </w:r>
            <w:r>
              <w:rPr>
                <w:rStyle w:val="35"/>
                <w:rFonts w:hint="default" w:ascii="Times New Roman" w:hAnsi="Times New Roman" w:cs="Times New Roman"/>
                <w:color w:val="auto"/>
                <w:sz w:val="24"/>
                <w:szCs w:val="24"/>
                <w:lang w:val="en-US" w:eastAsia="zh-CN" w:bidi="ar"/>
              </w:rPr>
              <w:t>管理</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22</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优秀</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4019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highlight w:val="none"/>
                <w:u w:val="none"/>
                <w:lang w:val="en-US" w:eastAsia="zh-CN" w:bidi="ar"/>
              </w:rPr>
              <w:t>赛事文</w:t>
            </w:r>
            <w:r>
              <w:rPr>
                <w:rStyle w:val="35"/>
                <w:rFonts w:hint="default" w:ascii="Times New Roman" w:hAnsi="Times New Roman" w:cs="Times New Roman"/>
                <w:color w:val="auto"/>
                <w:sz w:val="24"/>
                <w:szCs w:val="24"/>
                <w:highlight w:val="none"/>
                <w:lang w:val="en-US" w:eastAsia="zh-CN" w:bidi="ar"/>
              </w:rPr>
              <w:t>化价值</w:t>
            </w:r>
            <w:r>
              <w:rPr>
                <w:rStyle w:val="35"/>
                <w:rFonts w:hint="default" w:ascii="Times New Roman" w:hAnsi="Times New Roman" w:eastAsia="宋体" w:cs="Times New Roman"/>
                <w:color w:val="auto"/>
                <w:sz w:val="24"/>
                <w:szCs w:val="24"/>
                <w:highlight w:val="none"/>
                <w:lang w:val="en-US" w:eastAsia="zh-Hans" w:bidi="ar"/>
              </w:rPr>
              <w:t>挖掘</w:t>
            </w:r>
            <w:r>
              <w:rPr>
                <w:rStyle w:val="35"/>
                <w:rFonts w:hint="default" w:ascii="Times New Roman" w:hAnsi="Times New Roman" w:eastAsia="宋体" w:cs="Times New Roman"/>
                <w:color w:val="auto"/>
                <w:sz w:val="24"/>
                <w:szCs w:val="24"/>
                <w:highlight w:val="none"/>
                <w:lang w:eastAsia="zh-Hans" w:bidi="ar"/>
              </w:rPr>
              <w:t>U</w:t>
            </w:r>
            <w:r>
              <w:rPr>
                <w:rStyle w:val="35"/>
                <w:rFonts w:hint="default" w:ascii="Times New Roman" w:hAnsi="Times New Roman" w:eastAsia="宋体" w:cs="Times New Roman"/>
                <w:color w:val="auto"/>
                <w:sz w:val="24"/>
                <w:szCs w:val="24"/>
                <w:highlight w:val="none"/>
                <w:vertAlign w:val="subscript"/>
                <w:lang w:eastAsia="zh-Hans" w:bidi="ar"/>
              </w:rPr>
              <w:t>23</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差</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3673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比</w:t>
            </w:r>
            <w:r>
              <w:rPr>
                <w:rStyle w:val="35"/>
                <w:rFonts w:hint="default" w:ascii="Times New Roman" w:hAnsi="Times New Roman" w:cs="Times New Roman"/>
                <w:color w:val="auto"/>
                <w:sz w:val="24"/>
                <w:szCs w:val="24"/>
                <w:lang w:val="en-US" w:eastAsia="zh-CN" w:bidi="ar"/>
              </w:rPr>
              <w:t>赛过程</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31</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4045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赛</w:t>
            </w:r>
            <w:r>
              <w:rPr>
                <w:rStyle w:val="35"/>
                <w:rFonts w:hint="default" w:ascii="Times New Roman" w:hAnsi="Times New Roman" w:cs="Times New Roman"/>
                <w:color w:val="auto"/>
                <w:sz w:val="24"/>
                <w:szCs w:val="24"/>
                <w:lang w:val="en-US" w:eastAsia="zh-CN" w:bidi="ar"/>
              </w:rPr>
              <w:t>事组织</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32</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3248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赛</w:t>
            </w:r>
            <w:r>
              <w:rPr>
                <w:rStyle w:val="35"/>
                <w:rFonts w:hint="default" w:ascii="Times New Roman" w:hAnsi="Times New Roman" w:cs="Times New Roman"/>
                <w:color w:val="auto"/>
                <w:sz w:val="24"/>
                <w:szCs w:val="24"/>
                <w:lang w:val="en-US" w:eastAsia="zh-CN" w:bidi="ar"/>
              </w:rPr>
              <w:t>事标识</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33</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态</w:t>
            </w:r>
            <w:r>
              <w:rPr>
                <w:rStyle w:val="35"/>
                <w:rFonts w:hint="default" w:ascii="Times New Roman" w:hAnsi="Times New Roman" w:cs="Times New Roman"/>
                <w:color w:val="auto"/>
                <w:sz w:val="24"/>
                <w:szCs w:val="24"/>
                <w:lang w:val="en-US" w:eastAsia="zh-CN" w:bidi="ar"/>
              </w:rPr>
              <w:t>度忠诚</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41</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3716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行为忠诚</w:t>
            </w:r>
            <w:r>
              <w:rPr>
                <w:rFonts w:hint="default" w:ascii="Times New Roman" w:hAnsi="Times New Roman" w:eastAsia="宋体" w:cs="Times New Roman"/>
                <w:i w:val="0"/>
                <w:iCs w:val="0"/>
                <w:color w:val="auto"/>
                <w:kern w:val="0"/>
                <w:sz w:val="24"/>
                <w:szCs w:val="24"/>
                <w:u w:val="none"/>
                <w:lang w:eastAsia="zh-CN" w:bidi="ar"/>
              </w:rPr>
              <w:t>U</w:t>
            </w:r>
            <w:r>
              <w:rPr>
                <w:rFonts w:hint="default" w:ascii="Times New Roman" w:hAnsi="Times New Roman" w:eastAsia="宋体" w:cs="Times New Roman"/>
                <w:i w:val="0"/>
                <w:iCs w:val="0"/>
                <w:color w:val="auto"/>
                <w:kern w:val="0"/>
                <w:sz w:val="24"/>
                <w:szCs w:val="24"/>
                <w:u w:val="none"/>
                <w:vertAlign w:val="subscript"/>
                <w:lang w:eastAsia="zh-CN" w:bidi="ar"/>
              </w:rPr>
              <w:t>42</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优秀</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3912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赛事质量</w:t>
            </w:r>
            <w:r>
              <w:rPr>
                <w:rStyle w:val="35"/>
                <w:rFonts w:hint="default" w:ascii="Times New Roman" w:hAnsi="Times New Roman" w:cs="Times New Roman"/>
                <w:color w:val="auto"/>
                <w:sz w:val="24"/>
                <w:szCs w:val="24"/>
                <w:lang w:val="en-US" w:eastAsia="zh-CN" w:bidi="ar"/>
              </w:rPr>
              <w:t>评价</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51</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206" w:type="dxa"/>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i w:val="0"/>
                <w:iCs w:val="0"/>
                <w:color w:val="auto"/>
                <w:kern w:val="0"/>
                <w:sz w:val="24"/>
                <w:szCs w:val="24"/>
                <w:u w:val="none"/>
                <w:lang w:val="en-US" w:eastAsia="zh-CN" w:bidi="ar"/>
              </w:rPr>
              <w:t>对</w:t>
            </w:r>
            <w:r>
              <w:rPr>
                <w:rStyle w:val="35"/>
                <w:rFonts w:hint="default" w:ascii="Times New Roman" w:hAnsi="Times New Roman" w:cs="Times New Roman"/>
                <w:color w:val="auto"/>
                <w:sz w:val="24"/>
                <w:szCs w:val="24"/>
                <w:lang w:val="en-US" w:eastAsia="zh-CN" w:bidi="ar"/>
              </w:rPr>
              <w:t>项目发展的促进</w:t>
            </w:r>
            <w:r>
              <w:rPr>
                <w:rStyle w:val="35"/>
                <w:rFonts w:hint="default" w:ascii="Times New Roman" w:hAnsi="Times New Roman" w:cs="Times New Roman"/>
                <w:color w:val="auto"/>
                <w:sz w:val="24"/>
                <w:szCs w:val="24"/>
                <w:lang w:eastAsia="zh-CN" w:bidi="ar"/>
              </w:rPr>
              <w:t>U</w:t>
            </w:r>
            <w:r>
              <w:rPr>
                <w:rStyle w:val="35"/>
                <w:rFonts w:hint="default" w:ascii="Times New Roman" w:hAnsi="Times New Roman" w:cs="Times New Roman"/>
                <w:color w:val="auto"/>
                <w:sz w:val="24"/>
                <w:szCs w:val="24"/>
                <w:vertAlign w:val="subscript"/>
                <w:lang w:eastAsia="zh-CN" w:bidi="ar"/>
              </w:rPr>
              <w:t>52</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06"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3554</w:t>
            </w:r>
          </w:p>
        </w:tc>
      </w:tr>
    </w:tbl>
    <w:p>
      <w:pPr>
        <w:ind w:firstLine="560" w:firstLineChars="200"/>
        <w:rPr>
          <w:rFonts w:hint="default" w:ascii="Times New Roman" w:hAnsi="Times New Roman" w:cs="Times New Roman"/>
          <w:sz w:val="28"/>
          <w:szCs w:val="28"/>
        </w:rPr>
      </w:pPr>
      <w:bookmarkStart w:id="26" w:name="_Toc218802898"/>
      <w:r>
        <w:rPr>
          <w:rFonts w:hint="default" w:ascii="Times New Roman" w:hAnsi="Times New Roman" w:cs="Times New Roman"/>
          <w:b w:val="0"/>
          <w:bCs/>
          <w:color w:val="000000" w:themeColor="text1"/>
          <w:sz w:val="28"/>
          <w:szCs w:val="28"/>
          <w:lang w:val="en-US" w:eastAsia="zh-Hans"/>
          <w14:textFill>
            <w14:solidFill>
              <w14:schemeClr w14:val="tx1"/>
            </w14:solidFill>
          </w14:textFill>
        </w:rPr>
        <w:t>从表</w:t>
      </w:r>
      <w:r>
        <w:rPr>
          <w:rFonts w:hint="default" w:ascii="Times New Roman" w:hAnsi="Times New Roman" w:cs="Times New Roman"/>
          <w:b w:val="0"/>
          <w:bCs/>
          <w:color w:val="000000" w:themeColor="text1"/>
          <w:sz w:val="28"/>
          <w:szCs w:val="28"/>
          <w:lang w:eastAsia="zh-Hans"/>
          <w14:textFill>
            <w14:solidFill>
              <w14:schemeClr w14:val="tx1"/>
            </w14:solidFill>
          </w14:textFill>
        </w:rPr>
        <w:t>3</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可以看出</w:t>
      </w:r>
      <w:r>
        <w:rPr>
          <w:rFonts w:hint="default" w:ascii="Times New Roman" w:hAnsi="Times New Roman" w:cs="Times New Roman"/>
          <w:b w:val="0"/>
          <w:bCs/>
          <w:color w:val="000000" w:themeColor="text1"/>
          <w:sz w:val="28"/>
          <w:szCs w:val="28"/>
          <w:lang w:eastAsia="zh-Hans"/>
          <w14:textFill>
            <w14:solidFill>
              <w14:schemeClr w14:val="tx1"/>
            </w14:solidFill>
          </w14:textFill>
        </w:rPr>
        <w:t>，赛事文化价值挖掘U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23</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和</w:t>
      </w:r>
      <w:r>
        <w:rPr>
          <w:rFonts w:hint="default" w:ascii="Times New Roman" w:hAnsi="Times New Roman" w:cs="Times New Roman"/>
          <w:b w:val="0"/>
          <w:bCs/>
          <w:color w:val="000000" w:themeColor="text1"/>
          <w:sz w:val="28"/>
          <w:szCs w:val="28"/>
          <w:lang w:eastAsia="zh-Hans"/>
          <w14:textFill>
            <w14:solidFill>
              <w14:schemeClr w14:val="tx1"/>
            </w14:solidFill>
          </w14:textFill>
        </w:rPr>
        <w:t>行为忠诚U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42</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的评价结果为“优秀”评价级</w:t>
      </w:r>
      <w:r>
        <w:rPr>
          <w:rFonts w:hint="default" w:ascii="Times New Roman" w:hAnsi="Times New Roman" w:cs="Times New Roman"/>
          <w:b w:val="0"/>
          <w:bCs/>
          <w:color w:val="000000" w:themeColor="text1"/>
          <w:sz w:val="28"/>
          <w:szCs w:val="28"/>
          <w:lang w:eastAsia="zh-Hans"/>
          <w14:textFill>
            <w14:solidFill>
              <w14:schemeClr w14:val="tx1"/>
            </w14:solidFill>
          </w14:textFill>
        </w:rPr>
        <w:t>；品牌推广U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13</w:t>
      </w:r>
      <w:r>
        <w:rPr>
          <w:rFonts w:hint="default" w:ascii="Times New Roman" w:hAnsi="Times New Roman" w:cs="Times New Roman"/>
          <w:b w:val="0"/>
          <w:bCs/>
          <w:color w:val="000000" w:themeColor="text1"/>
          <w:sz w:val="28"/>
          <w:szCs w:val="28"/>
          <w:lang w:eastAsia="zh-Hans"/>
          <w14:textFill>
            <w14:solidFill>
              <w14:schemeClr w14:val="tx1"/>
            </w14:solidFill>
          </w14:textFill>
        </w:rPr>
        <w:t>、比赛过程</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U31</w:t>
      </w:r>
      <w:r>
        <w:rPr>
          <w:rFonts w:hint="default" w:ascii="Times New Roman" w:hAnsi="Times New Roman" w:cs="Times New Roman"/>
          <w:b w:val="0"/>
          <w:bCs/>
          <w:color w:val="000000" w:themeColor="text1"/>
          <w:sz w:val="28"/>
          <w:szCs w:val="28"/>
          <w:lang w:eastAsia="zh-Hans"/>
          <w14:textFill>
            <w14:solidFill>
              <w14:schemeClr w14:val="tx1"/>
            </w14:solidFill>
          </w14:textFill>
        </w:rPr>
        <w:t>、赛事组织U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32</w:t>
      </w:r>
      <w:r>
        <w:rPr>
          <w:rFonts w:hint="default" w:ascii="Times New Roman" w:hAnsi="Times New Roman" w:cs="Times New Roman"/>
          <w:b w:val="0"/>
          <w:bCs/>
          <w:color w:val="000000" w:themeColor="text1"/>
          <w:sz w:val="28"/>
          <w:szCs w:val="28"/>
          <w:lang w:eastAsia="zh-Hans"/>
          <w14:textFill>
            <w14:solidFill>
              <w14:schemeClr w14:val="tx1"/>
            </w14:solidFill>
          </w14:textFill>
        </w:rPr>
        <w:t>、赛事标识U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33</w:t>
      </w:r>
      <w:r>
        <w:rPr>
          <w:rFonts w:hint="default" w:ascii="Times New Roman" w:hAnsi="Times New Roman" w:cs="Times New Roman"/>
          <w:b w:val="0"/>
          <w:bCs/>
          <w:color w:val="000000" w:themeColor="text1"/>
          <w:sz w:val="28"/>
          <w:szCs w:val="28"/>
          <w:lang w:eastAsia="zh-Hans"/>
          <w14:textFill>
            <w14:solidFill>
              <w14:schemeClr w14:val="tx1"/>
            </w14:solidFill>
          </w14:textFill>
        </w:rPr>
        <w:t>、态度忠诚U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41</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和</w:t>
      </w:r>
      <w:r>
        <w:rPr>
          <w:rFonts w:hint="default" w:ascii="Times New Roman" w:hAnsi="Times New Roman" w:cs="Times New Roman"/>
          <w:b w:val="0"/>
          <w:bCs/>
          <w:color w:val="000000" w:themeColor="text1"/>
          <w:sz w:val="28"/>
          <w:szCs w:val="28"/>
          <w:lang w:eastAsia="zh-Hans"/>
          <w14:textFill>
            <w14:solidFill>
              <w14:schemeClr w14:val="tx1"/>
            </w14:solidFill>
          </w14:textFill>
        </w:rPr>
        <w:t>对项目发展的促进U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52</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的评价结果为“良好”评价级</w:t>
      </w:r>
      <w:r>
        <w:rPr>
          <w:rFonts w:hint="default" w:ascii="Times New Roman" w:hAnsi="Times New Roman" w:cs="Times New Roman"/>
          <w:b w:val="0"/>
          <w:bCs/>
          <w:color w:val="000000" w:themeColor="text1"/>
          <w:sz w:val="28"/>
          <w:szCs w:val="28"/>
          <w:lang w:eastAsia="zh-Hans"/>
          <w14:textFill>
            <w14:solidFill>
              <w14:schemeClr w14:val="tx1"/>
            </w14:solidFill>
          </w14:textFill>
        </w:rPr>
        <w:t>；品牌定位U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11</w:t>
      </w:r>
      <w:r>
        <w:rPr>
          <w:rFonts w:hint="default" w:ascii="Times New Roman" w:hAnsi="Times New Roman" w:cs="Times New Roman"/>
          <w:b w:val="0"/>
          <w:bCs/>
          <w:color w:val="000000" w:themeColor="text1"/>
          <w:sz w:val="28"/>
          <w:szCs w:val="28"/>
          <w:lang w:eastAsia="zh-Hans"/>
          <w14:textFill>
            <w14:solidFill>
              <w14:schemeClr w14:val="tx1"/>
            </w14:solidFill>
          </w14:textFill>
        </w:rPr>
        <w:t>、品牌打造U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12</w:t>
      </w:r>
      <w:r>
        <w:rPr>
          <w:rFonts w:hint="default" w:ascii="Times New Roman" w:hAnsi="Times New Roman" w:cs="Times New Roman"/>
          <w:b w:val="0"/>
          <w:bCs/>
          <w:color w:val="000000" w:themeColor="text1"/>
          <w:sz w:val="28"/>
          <w:szCs w:val="28"/>
          <w:lang w:eastAsia="zh-Hans"/>
          <w14:textFill>
            <w14:solidFill>
              <w14:schemeClr w14:val="tx1"/>
            </w14:solidFill>
          </w14:textFill>
        </w:rPr>
        <w:t>、品牌传播U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14</w:t>
      </w:r>
      <w:r>
        <w:rPr>
          <w:rFonts w:hint="default" w:ascii="Times New Roman" w:hAnsi="Times New Roman" w:cs="Times New Roman"/>
          <w:b w:val="0"/>
          <w:bCs/>
          <w:color w:val="000000" w:themeColor="text1"/>
          <w:sz w:val="28"/>
          <w:szCs w:val="28"/>
          <w:lang w:eastAsia="zh-Hans"/>
          <w14:textFill>
            <w14:solidFill>
              <w14:schemeClr w14:val="tx1"/>
            </w14:solidFill>
          </w14:textFill>
        </w:rPr>
        <w:t>、赛事基础设施建设U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21</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和</w:t>
      </w:r>
      <w:r>
        <w:rPr>
          <w:rFonts w:hint="default" w:ascii="Times New Roman" w:hAnsi="Times New Roman" w:cs="Times New Roman"/>
          <w:b w:val="0"/>
          <w:bCs/>
          <w:color w:val="000000" w:themeColor="text1"/>
          <w:sz w:val="28"/>
          <w:szCs w:val="28"/>
          <w:lang w:eastAsia="zh-Hans"/>
          <w14:textFill>
            <w14:solidFill>
              <w14:schemeClr w14:val="tx1"/>
            </w14:solidFill>
          </w14:textFill>
        </w:rPr>
        <w:t>赛事质量评价U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51</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的评价结果为“一般”评价级</w:t>
      </w:r>
      <w:r>
        <w:rPr>
          <w:rFonts w:hint="default" w:ascii="Times New Roman" w:hAnsi="Times New Roman" w:cs="Times New Roman"/>
          <w:b w:val="0"/>
          <w:bCs/>
          <w:color w:val="000000" w:themeColor="text1"/>
          <w:sz w:val="28"/>
          <w:szCs w:val="28"/>
          <w:lang w:eastAsia="zh-Hans"/>
          <w14:textFill>
            <w14:solidFill>
              <w14:schemeClr w14:val="tx1"/>
            </w14:solidFill>
          </w14:textFill>
        </w:rPr>
        <w:t>；赛事文化价值挖掘U</w:t>
      </w:r>
      <w:r>
        <w:rPr>
          <w:rFonts w:hint="default" w:ascii="Times New Roman" w:hAnsi="Times New Roman" w:cs="Times New Roman"/>
          <w:b w:val="0"/>
          <w:bCs/>
          <w:color w:val="000000" w:themeColor="text1"/>
          <w:sz w:val="28"/>
          <w:szCs w:val="28"/>
          <w:vertAlign w:val="subscript"/>
          <w:lang w:eastAsia="zh-Hans"/>
          <w14:textFill>
            <w14:solidFill>
              <w14:schemeClr w14:val="tx1"/>
            </w14:solidFill>
          </w14:textFill>
        </w:rPr>
        <w:t>23</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评价结果为“差”评价级</w:t>
      </w:r>
      <w:r>
        <w:rPr>
          <w:rFonts w:hint="default" w:ascii="Times New Roman" w:hAnsi="Times New Roman" w:cs="Times New Roman"/>
          <w:b w:val="0"/>
          <w:bCs/>
          <w:color w:val="000000" w:themeColor="text1"/>
          <w:sz w:val="28"/>
          <w:szCs w:val="28"/>
          <w:lang w:eastAsia="zh-Hans"/>
          <w14:textFill>
            <w14:solidFill>
              <w14:schemeClr w14:val="tx1"/>
            </w14:solidFill>
          </w14:textFill>
        </w:rPr>
        <w:t>。</w:t>
      </w:r>
    </w:p>
    <w:p>
      <w:pPr>
        <w:pStyle w:val="5"/>
        <w:keepNext/>
        <w:keepLines/>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b/>
          <w:bCs w:val="0"/>
          <w:sz w:val="28"/>
          <w:szCs w:val="28"/>
        </w:rPr>
      </w:pPr>
      <w:r>
        <w:rPr>
          <w:rFonts w:hint="default" w:ascii="Times New Roman" w:hAnsi="Times New Roman" w:cs="Times New Roman"/>
          <w:b w:val="0"/>
          <w:bCs/>
          <w:sz w:val="28"/>
          <w:szCs w:val="28"/>
        </w:rPr>
        <w:t xml:space="preserve">2. </w:t>
      </w:r>
      <w:r>
        <w:rPr>
          <w:rFonts w:hint="default" w:ascii="Times New Roman" w:hAnsi="Times New Roman" w:cs="Times New Roman"/>
          <w:b w:val="0"/>
          <w:bCs/>
          <w:sz w:val="28"/>
          <w:szCs w:val="28"/>
          <w:lang w:val="en-US" w:eastAsia="zh-Hans"/>
        </w:rPr>
        <w:t>一</w:t>
      </w:r>
      <w:r>
        <w:rPr>
          <w:rFonts w:hint="default" w:ascii="Times New Roman" w:hAnsi="Times New Roman" w:cs="Times New Roman"/>
          <w:b w:val="0"/>
          <w:bCs/>
          <w:sz w:val="28"/>
          <w:szCs w:val="28"/>
        </w:rPr>
        <w:t>级指标模糊评价</w:t>
      </w:r>
      <w:bookmarkEnd w:id="26"/>
    </w:p>
    <w:p>
      <w:pPr>
        <w:ind w:firstLine="480"/>
        <w:rPr>
          <w:rFonts w:hint="default" w:ascii="Times New Roman" w:hAnsi="Times New Roman" w:cs="Times New Roman"/>
          <w:color w:val="000000" w:themeColor="text1"/>
          <w:sz w:val="28"/>
          <w:szCs w:val="28"/>
          <w14:textFill>
            <w14:solidFill>
              <w14:schemeClr w14:val="tx1"/>
            </w14:solidFill>
          </w14:textFill>
        </w:rPr>
      </w:pPr>
      <w:r>
        <w:rPr>
          <w:rFonts w:hint="default" w:ascii="Times New Roman" w:hAnsi="Times New Roman" w:cs="Times New Roman"/>
          <w:color w:val="000000" w:themeColor="text1"/>
          <w:sz w:val="28"/>
          <w:szCs w:val="28"/>
          <w14:textFill>
            <w14:solidFill>
              <w14:schemeClr w14:val="tx1"/>
            </w14:solidFill>
          </w14:textFill>
        </w:rPr>
        <w:t>建立品牌知名度评价的因素集合U</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和评价等级集合V，那么两者的集合分别为：U</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12</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13</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14</w:t>
      </w:r>
      <w:r>
        <w:rPr>
          <w:rFonts w:hint="default" w:ascii="Times New Roman" w:hAnsi="Times New Roman" w:cs="Times New Roman"/>
          <w:color w:val="000000" w:themeColor="text1"/>
          <w:sz w:val="28"/>
          <w:szCs w:val="28"/>
          <w14:textFill>
            <w14:solidFill>
              <w14:schemeClr w14:val="tx1"/>
            </w14:solidFill>
          </w14:textFill>
        </w:rPr>
        <w:t>}，V={V</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，V</w:t>
      </w:r>
      <w:r>
        <w:rPr>
          <w:rFonts w:hint="default" w:ascii="Times New Roman" w:hAnsi="Times New Roman" w:cs="Times New Roman"/>
          <w:color w:val="000000" w:themeColor="text1"/>
          <w:sz w:val="28"/>
          <w:szCs w:val="28"/>
          <w:vertAlign w:val="subscript"/>
          <w14:textFill>
            <w14:solidFill>
              <w14:schemeClr w14:val="tx1"/>
            </w14:solidFill>
          </w14:textFill>
        </w:rPr>
        <w:t>2</w:t>
      </w:r>
      <w:r>
        <w:rPr>
          <w:rFonts w:hint="default" w:ascii="Times New Roman" w:hAnsi="Times New Roman" w:cs="Times New Roman"/>
          <w:color w:val="000000" w:themeColor="text1"/>
          <w:sz w:val="28"/>
          <w:szCs w:val="28"/>
          <w14:textFill>
            <w14:solidFill>
              <w14:schemeClr w14:val="tx1"/>
            </w14:solidFill>
          </w14:textFill>
        </w:rPr>
        <w:t>，V</w:t>
      </w:r>
      <w:r>
        <w:rPr>
          <w:rFonts w:hint="default" w:ascii="Times New Roman" w:hAnsi="Times New Roman" w:cs="Times New Roman"/>
          <w:color w:val="000000" w:themeColor="text1"/>
          <w:sz w:val="28"/>
          <w:szCs w:val="28"/>
          <w:vertAlign w:val="subscript"/>
          <w14:textFill>
            <w14:solidFill>
              <w14:schemeClr w14:val="tx1"/>
            </w14:solidFill>
          </w14:textFill>
        </w:rPr>
        <w:t>3</w:t>
      </w:r>
      <w:r>
        <w:rPr>
          <w:rFonts w:hint="default" w:ascii="Times New Roman" w:hAnsi="Times New Roman" w:cs="Times New Roman"/>
          <w:color w:val="000000" w:themeColor="text1"/>
          <w:sz w:val="28"/>
          <w:szCs w:val="28"/>
          <w14:textFill>
            <w14:solidFill>
              <w14:schemeClr w14:val="tx1"/>
            </w14:solidFill>
          </w14:textFill>
        </w:rPr>
        <w:t>，V</w:t>
      </w:r>
      <w:r>
        <w:rPr>
          <w:rFonts w:hint="default" w:ascii="Times New Roman" w:hAnsi="Times New Roman" w:cs="Times New Roman"/>
          <w:color w:val="000000" w:themeColor="text1"/>
          <w:sz w:val="28"/>
          <w:szCs w:val="28"/>
          <w:vertAlign w:val="subscript"/>
          <w14:textFill>
            <w14:solidFill>
              <w14:schemeClr w14:val="tx1"/>
            </w14:solidFill>
          </w14:textFill>
        </w:rPr>
        <w:t>4</w:t>
      </w:r>
      <w:r>
        <w:rPr>
          <w:rFonts w:hint="default" w:ascii="Times New Roman" w:hAnsi="Times New Roman" w:cs="Times New Roman"/>
          <w:color w:val="000000" w:themeColor="text1"/>
          <w:sz w:val="28"/>
          <w:szCs w:val="28"/>
          <w14:textFill>
            <w14:solidFill>
              <w14:schemeClr w14:val="tx1"/>
            </w14:solidFill>
          </w14:textFill>
        </w:rPr>
        <w:t>}。品牌定位U</w:t>
      </w:r>
      <w:r>
        <w:rPr>
          <w:rFonts w:hint="default" w:ascii="Times New Roman" w:hAnsi="Times New Roman" w:cs="Times New Roman"/>
          <w:color w:val="000000" w:themeColor="text1"/>
          <w:sz w:val="28"/>
          <w:szCs w:val="28"/>
          <w:vertAlign w:val="subscript"/>
          <w14:textFill>
            <w14:solidFill>
              <w14:schemeClr w14:val="tx1"/>
            </w14:solidFill>
          </w14:textFill>
        </w:rPr>
        <w:t>11</w:t>
      </w:r>
      <w:r>
        <w:rPr>
          <w:rFonts w:hint="default" w:ascii="Times New Roman" w:hAnsi="Times New Roman" w:cs="Times New Roman"/>
          <w:color w:val="000000" w:themeColor="text1"/>
          <w:sz w:val="28"/>
          <w:szCs w:val="28"/>
          <w14:textFill>
            <w14:solidFill>
              <w14:schemeClr w14:val="tx1"/>
            </w14:solidFill>
          </w14:textFill>
        </w:rPr>
        <w:t>的隶属度为：r</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=（0.1233，0.4668，0.2715，0.1384）；品牌成长U</w:t>
      </w:r>
      <w:r>
        <w:rPr>
          <w:rFonts w:hint="default" w:ascii="Times New Roman" w:hAnsi="Times New Roman" w:cs="Times New Roman"/>
          <w:color w:val="000000" w:themeColor="text1"/>
          <w:sz w:val="28"/>
          <w:szCs w:val="28"/>
          <w:vertAlign w:val="subscript"/>
          <w14:textFill>
            <w14:solidFill>
              <w14:schemeClr w14:val="tx1"/>
            </w14:solidFill>
          </w14:textFill>
        </w:rPr>
        <w:t>12</w:t>
      </w:r>
      <w:r>
        <w:rPr>
          <w:rFonts w:hint="default" w:ascii="Times New Roman" w:hAnsi="Times New Roman" w:cs="Times New Roman"/>
          <w:color w:val="000000" w:themeColor="text1"/>
          <w:sz w:val="28"/>
          <w:szCs w:val="28"/>
          <w14:textFill>
            <w14:solidFill>
              <w14:schemeClr w14:val="tx1"/>
            </w14:solidFill>
          </w14:textFill>
        </w:rPr>
        <w:t>的隶属度为：r</w:t>
      </w:r>
      <w:r>
        <w:rPr>
          <w:rFonts w:hint="default" w:ascii="Times New Roman" w:hAnsi="Times New Roman" w:cs="Times New Roman"/>
          <w:color w:val="000000" w:themeColor="text1"/>
          <w:sz w:val="28"/>
          <w:szCs w:val="28"/>
          <w:vertAlign w:val="subscript"/>
          <w14:textFill>
            <w14:solidFill>
              <w14:schemeClr w14:val="tx1"/>
            </w14:solidFill>
          </w14:textFill>
        </w:rPr>
        <w:t>2</w:t>
      </w:r>
      <w:r>
        <w:rPr>
          <w:rFonts w:hint="default" w:ascii="Times New Roman" w:hAnsi="Times New Roman" w:cs="Times New Roman"/>
          <w:color w:val="000000" w:themeColor="text1"/>
          <w:sz w:val="28"/>
          <w:szCs w:val="28"/>
          <w14:textFill>
            <w14:solidFill>
              <w14:schemeClr w14:val="tx1"/>
            </w14:solidFill>
          </w14:textFill>
        </w:rPr>
        <w:t>=（0.4007，0.4918，0.1075，0.0000）；</w:t>
      </w:r>
      <w:r>
        <w:rPr>
          <w:rFonts w:hint="default" w:ascii="Times New Roman" w:hAnsi="Times New Roman" w:cs="Times New Roman"/>
          <w:color w:val="auto"/>
          <w:sz w:val="28"/>
          <w:szCs w:val="28"/>
        </w:rPr>
        <w:t>品牌推广U</w:t>
      </w:r>
      <w:r>
        <w:rPr>
          <w:rFonts w:hint="default" w:ascii="Times New Roman" w:hAnsi="Times New Roman" w:cs="Times New Roman"/>
          <w:color w:val="auto"/>
          <w:sz w:val="28"/>
          <w:szCs w:val="28"/>
          <w:vertAlign w:val="subscript"/>
        </w:rPr>
        <w:t>13</w:t>
      </w:r>
      <w:r>
        <w:rPr>
          <w:rFonts w:hint="default" w:ascii="Times New Roman" w:hAnsi="Times New Roman" w:cs="Times New Roman"/>
          <w:color w:val="auto"/>
          <w:sz w:val="28"/>
          <w:szCs w:val="28"/>
        </w:rPr>
        <w:t>的隶属度为：r</w:t>
      </w:r>
      <w:r>
        <w:rPr>
          <w:rFonts w:hint="default" w:ascii="Times New Roman" w:hAnsi="Times New Roman" w:cs="Times New Roman"/>
          <w:color w:val="auto"/>
          <w:sz w:val="28"/>
          <w:szCs w:val="28"/>
          <w:vertAlign w:val="subscript"/>
        </w:rPr>
        <w:t>3</w:t>
      </w:r>
      <w:r>
        <w:rPr>
          <w:rFonts w:hint="default" w:ascii="Times New Roman" w:hAnsi="Times New Roman" w:cs="Times New Roman"/>
          <w:color w:val="auto"/>
          <w:sz w:val="28"/>
          <w:szCs w:val="28"/>
        </w:rPr>
        <w:t>=（0.1799，0.2881，0.3101，0.2219）；品牌传播U</w:t>
      </w:r>
      <w:r>
        <w:rPr>
          <w:rFonts w:hint="default" w:ascii="Times New Roman" w:hAnsi="Times New Roman" w:cs="Times New Roman"/>
          <w:color w:val="auto"/>
          <w:sz w:val="28"/>
          <w:szCs w:val="28"/>
          <w:vertAlign w:val="subscript"/>
        </w:rPr>
        <w:t>14</w:t>
      </w:r>
      <w:r>
        <w:rPr>
          <w:rFonts w:hint="default" w:ascii="Times New Roman" w:hAnsi="Times New Roman" w:cs="Times New Roman"/>
          <w:color w:val="auto"/>
          <w:sz w:val="28"/>
          <w:szCs w:val="28"/>
        </w:rPr>
        <w:t>的隶属</w:t>
      </w:r>
      <w:r>
        <w:rPr>
          <w:rFonts w:hint="default" w:ascii="Times New Roman" w:hAnsi="Times New Roman" w:cs="Times New Roman"/>
          <w:color w:val="000000" w:themeColor="text1"/>
          <w:sz w:val="28"/>
          <w:szCs w:val="28"/>
          <w14:textFill>
            <w14:solidFill>
              <w14:schemeClr w14:val="tx1"/>
            </w14:solidFill>
          </w14:textFill>
        </w:rPr>
        <w:t>度为：r</w:t>
      </w:r>
      <w:r>
        <w:rPr>
          <w:rFonts w:hint="default" w:ascii="Times New Roman" w:hAnsi="Times New Roman" w:cs="Times New Roman"/>
          <w:color w:val="000000" w:themeColor="text1"/>
          <w:sz w:val="28"/>
          <w:szCs w:val="28"/>
          <w:vertAlign w:val="subscript"/>
          <w14:textFill>
            <w14:solidFill>
              <w14:schemeClr w14:val="tx1"/>
            </w14:solidFill>
          </w14:textFill>
        </w:rPr>
        <w:t>4</w:t>
      </w:r>
      <w:r>
        <w:rPr>
          <w:rFonts w:hint="default" w:ascii="Times New Roman" w:hAnsi="Times New Roman" w:cs="Times New Roman"/>
          <w:color w:val="000000" w:themeColor="text1"/>
          <w:sz w:val="28"/>
          <w:szCs w:val="28"/>
          <w14:textFill>
            <w14:solidFill>
              <w14:schemeClr w14:val="tx1"/>
            </w14:solidFill>
          </w14:textFill>
        </w:rPr>
        <w:t>=（0.4038，0.3261，0.1957，0.0743）。由此得出品牌知名度U</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的评价矩阵为：</w:t>
      </w:r>
    </w:p>
    <w:p>
      <w:pPr>
        <w:spacing w:line="360" w:lineRule="auto"/>
        <w:ind w:firstLine="480"/>
        <w:rPr>
          <w:rFonts w:hint="default" w:ascii="Times New Roman" w:hAnsi="Times New Roman" w:cs="Times New Roman"/>
          <w:color w:val="000000" w:themeColor="text1"/>
          <w14:textFill>
            <w14:solidFill>
              <w14:schemeClr w14:val="tx1"/>
            </w14:solidFill>
          </w14:textFill>
        </w:rPr>
      </w:pPr>
      <m:oMathPara>
        <m:oMath>
          <m:r>
            <m:rPr/>
            <w:rPr>
              <w:rFonts w:hint="default" w:ascii="Cambria Math" w:hAnsi="Cambria Math" w:cs="Times New Roman"/>
              <w:color w:val="000000"/>
              <w:sz w:val="28"/>
            </w:rPr>
            <m:t>R=</m:t>
          </m:r>
          <m:d>
            <m:dPr>
              <m:begChr m:val="["/>
              <m:endChr m:val="]"/>
              <m:ctrlPr>
                <w:rPr>
                  <w:rFonts w:hint="default" w:ascii="Cambria Math" w:hAnsi="Cambria Math" w:cs="Times New Roman"/>
                  <w:i/>
                  <w:color w:val="000000"/>
                  <w:sz w:val="28"/>
                  <w:szCs w:val="28"/>
                </w:rPr>
              </m:ctrlPr>
            </m:dPr>
            <m:e>
              <m:m>
                <m:mPr>
                  <m:mcs>
                    <m:mc>
                      <m:mcPr>
                        <m:count m:val="4"/>
                        <m:mcJc m:val="center"/>
                      </m:mcPr>
                    </m:mc>
                  </m:mcs>
                  <m:ctrlPr>
                    <w:rPr>
                      <w:rFonts w:hint="default" w:ascii="Cambria Math" w:hAnsi="Cambria Math" w:cs="Times New Roman"/>
                      <w:i w:val="0"/>
                      <w:iCs/>
                      <w:color w:val="000000"/>
                      <w:sz w:val="28"/>
                      <w:szCs w:val="28"/>
                    </w:rPr>
                  </m:ctrlPr>
                </m:mPr>
                <m:mr>
                  <m:e>
                    <m:r>
                      <m:rPr>
                        <m:sty m:val="p"/>
                      </m:rPr>
                      <w:rPr>
                        <w:rFonts w:hint="default" w:ascii="Cambria Math" w:hAnsi="Cambria Math" w:cs="Times New Roman"/>
                        <w:color w:val="000000"/>
                        <w:sz w:val="28"/>
                        <w:szCs w:val="28"/>
                      </w:rPr>
                      <m:t>0.1233</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0.4668</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0.2715</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0.1384</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0.4007</m:t>
                    </m:r>
                    <m:ctrlPr>
                      <w:rPr>
                        <w:rFonts w:hint="default" w:ascii="Cambria Math" w:hAnsi="Cambria Math" w:cs="Times New Roman"/>
                        <w:i w:val="0"/>
                        <w:iCs/>
                        <w:color w:val="000000"/>
                        <w:sz w:val="28"/>
                        <w:szCs w:val="28"/>
                      </w:rPr>
                    </m:ctrlPr>
                  </m:e>
                  <m:e>
                    <m:r>
                      <m:rPr>
                        <m:sty m:val="p"/>
                      </m:rPr>
                      <w:rPr>
                        <w:rFonts w:hint="default" w:ascii="Cambria Math" w:hAnsi="Cambria Math" w:cs="Times New Roman"/>
                        <w:color w:val="000000"/>
                        <w:sz w:val="28"/>
                        <w:szCs w:val="28"/>
                      </w:rPr>
                      <m:t>0.4918</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0.1075</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0.0000</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0.1799</m:t>
                    </m:r>
                    <m:ctrlPr>
                      <w:rPr>
                        <w:rFonts w:hint="default" w:ascii="Cambria Math" w:hAnsi="Cambria Math" w:cs="Times New Roman"/>
                        <w:i w:val="0"/>
                        <w:iCs/>
                        <w:color w:val="000000"/>
                        <w:sz w:val="28"/>
                        <w:szCs w:val="28"/>
                      </w:rPr>
                    </m:ctrlPr>
                  </m:e>
                  <m:e>
                    <m:r>
                      <m:rPr>
                        <m:sty m:val="p"/>
                      </m:rPr>
                      <w:rPr>
                        <w:rFonts w:hint="default" w:ascii="Cambria Math" w:hAnsi="Cambria Math" w:cs="Times New Roman"/>
                        <w:color w:val="000000"/>
                        <w:sz w:val="28"/>
                        <w:szCs w:val="28"/>
                      </w:rPr>
                      <m:t>0.2881</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0.3101</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0.2219</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0.4038</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0.3261</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0.1957</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0.0743</m:t>
                    </m:r>
                    <m:ctrlPr>
                      <w:rPr>
                        <w:rFonts w:hint="default" w:ascii="Cambria Math" w:hAnsi="Cambria Math" w:eastAsia="Cambria Math" w:cs="Times New Roman"/>
                        <w:i w:val="0"/>
                        <w:iCs/>
                        <w:color w:val="000000"/>
                        <w:sz w:val="28"/>
                        <w:szCs w:val="28"/>
                      </w:rPr>
                    </m:ctrlPr>
                  </m:e>
                </m:mr>
              </m:m>
              <m:ctrlPr>
                <w:rPr>
                  <w:rFonts w:hint="default" w:ascii="Cambria Math" w:hAnsi="Cambria Math" w:cs="Times New Roman"/>
                  <w:i/>
                  <w:color w:val="000000"/>
                  <w:sz w:val="28"/>
                  <w:szCs w:val="28"/>
                </w:rPr>
              </m:ctrlPr>
            </m:e>
          </m:d>
        </m:oMath>
      </m:oMathPara>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rPr>
      </w:pP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11</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12</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13</w:t>
      </w:r>
      <w:r>
        <w:rPr>
          <w:rFonts w:hint="default" w:ascii="Times New Roman" w:hAnsi="Times New Roman" w:cs="Times New Roman"/>
          <w:color w:val="000000" w:themeColor="text1"/>
          <w:sz w:val="28"/>
          <w:szCs w:val="28"/>
          <w14:textFill>
            <w14:solidFill>
              <w14:schemeClr w14:val="tx1"/>
            </w14:solidFill>
          </w14:textFill>
        </w:rPr>
        <w:t>，U</w:t>
      </w:r>
      <w:r>
        <w:rPr>
          <w:rFonts w:hint="default" w:ascii="Times New Roman" w:hAnsi="Times New Roman" w:cs="Times New Roman"/>
          <w:color w:val="000000" w:themeColor="text1"/>
          <w:sz w:val="28"/>
          <w:szCs w:val="28"/>
          <w:vertAlign w:val="subscript"/>
          <w14:textFill>
            <w14:solidFill>
              <w14:schemeClr w14:val="tx1"/>
            </w14:solidFill>
          </w14:textFill>
        </w:rPr>
        <w:t>14</w:t>
      </w:r>
      <w:r>
        <w:rPr>
          <w:rFonts w:hint="default" w:ascii="Times New Roman" w:hAnsi="Times New Roman" w:cs="Times New Roman"/>
          <w:color w:val="000000" w:themeColor="text1"/>
          <w:sz w:val="28"/>
          <w:szCs w:val="28"/>
          <w14:textFill>
            <w14:solidFill>
              <w14:schemeClr w14:val="tx1"/>
            </w14:solidFill>
          </w14:textFill>
        </w:rPr>
        <w:t>}的权重为（0.3577，0.1884，0.1914，0.2624），可以得出U</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的综合评价结果为U</w:t>
      </w:r>
      <w:r>
        <w:rPr>
          <w:rFonts w:hint="default" w:ascii="Times New Roman" w:hAnsi="Times New Roman" w:cs="Times New Roman"/>
          <w:color w:val="000000" w:themeColor="text1"/>
          <w:sz w:val="28"/>
          <w:szCs w:val="28"/>
          <w:vertAlign w:val="subscript"/>
          <w14:textFill>
            <w14:solidFill>
              <w14:schemeClr w14:val="tx1"/>
            </w14:solidFill>
          </w14:textFill>
        </w:rPr>
        <w:t>1</w:t>
      </w:r>
      <w:r>
        <w:rPr>
          <w:rFonts w:hint="default" w:ascii="Times New Roman" w:hAnsi="Times New Roman" w:cs="Times New Roman"/>
          <w:color w:val="000000" w:themeColor="text1"/>
          <w:sz w:val="28"/>
          <w:szCs w:val="28"/>
          <w14:textFill>
            <w14:solidFill>
              <w14:schemeClr w14:val="tx1"/>
            </w14:solidFill>
          </w14:textFill>
        </w:rPr>
        <w:t>=（0.2600，0.4004，0.2281，0.1115），</w:t>
      </w:r>
      <w:r>
        <w:rPr>
          <w:rFonts w:hint="default" w:ascii="Times New Roman" w:hAnsi="Times New Roman" w:cs="Times New Roman"/>
          <w:color w:val="auto"/>
          <w:sz w:val="28"/>
          <w:szCs w:val="28"/>
          <w:lang w:val="en-US" w:eastAsia="zh-Hans"/>
        </w:rPr>
        <w:t>根据最大隶属度方法评判，包头市第十四届运动会赛事</w:t>
      </w:r>
      <w:r>
        <w:rPr>
          <w:rFonts w:hint="default" w:ascii="Times New Roman" w:hAnsi="Times New Roman" w:cs="Times New Roman"/>
          <w:color w:val="000000" w:themeColor="text1"/>
          <w:sz w:val="28"/>
          <w:szCs w:val="28"/>
          <w14:textFill>
            <w14:solidFill>
              <w14:schemeClr w14:val="tx1"/>
            </w14:solidFill>
          </w14:textFill>
        </w:rPr>
        <w:t>品牌知名度</w:t>
      </w:r>
      <w:r>
        <w:rPr>
          <w:rFonts w:hint="default" w:ascii="Times New Roman" w:hAnsi="Times New Roman" w:cs="Times New Roman"/>
          <w:color w:val="auto"/>
          <w:sz w:val="28"/>
          <w:szCs w:val="28"/>
          <w:lang w:val="en-US" w:eastAsia="zh-Hans"/>
        </w:rPr>
        <w:t>的评价</w:t>
      </w:r>
      <w:r>
        <w:rPr>
          <w:rFonts w:hint="default" w:ascii="Times New Roman" w:hAnsi="Times New Roman" w:cs="Times New Roman"/>
          <w:b w:val="0"/>
          <w:bCs w:val="0"/>
          <w:color w:val="auto"/>
          <w:sz w:val="28"/>
          <w:szCs w:val="28"/>
          <w:lang w:val="en-US" w:eastAsia="zh-Hans"/>
        </w:rPr>
        <w:t>结果隶</w:t>
      </w:r>
      <w:r>
        <w:rPr>
          <w:rFonts w:hint="default" w:ascii="Times New Roman" w:hAnsi="Times New Roman" w:cs="Times New Roman"/>
          <w:color w:val="auto"/>
          <w:sz w:val="28"/>
          <w:szCs w:val="28"/>
          <w:lang w:val="en-US" w:eastAsia="zh-Hans"/>
        </w:rPr>
        <w:t>属</w:t>
      </w:r>
      <w:r>
        <w:rPr>
          <w:rFonts w:hint="default" w:ascii="Times New Roman" w:hAnsi="Times New Roman" w:cs="Times New Roman"/>
          <w:color w:val="auto"/>
          <w:sz w:val="28"/>
          <w:szCs w:val="28"/>
          <w:lang w:eastAsia="zh-Hans"/>
        </w:rPr>
        <w:t>“一般”</w:t>
      </w:r>
      <w:r>
        <w:rPr>
          <w:rFonts w:hint="default" w:ascii="Times New Roman" w:hAnsi="Times New Roman" w:cs="Times New Roman"/>
          <w:color w:val="auto"/>
          <w:sz w:val="28"/>
          <w:szCs w:val="28"/>
          <w:lang w:val="en-US" w:eastAsia="zh-Hans"/>
        </w:rPr>
        <w:t>级评语，隶属度为</w:t>
      </w:r>
      <w:r>
        <w:rPr>
          <w:rFonts w:hint="default" w:ascii="Times New Roman" w:hAnsi="Times New Roman" w:cs="Times New Roman"/>
          <w:color w:val="auto"/>
          <w:sz w:val="28"/>
          <w:szCs w:val="28"/>
          <w:lang w:eastAsia="zh-Hans"/>
        </w:rPr>
        <w:t>0</w:t>
      </w:r>
      <w:r>
        <w:rPr>
          <w:rFonts w:hint="default" w:ascii="Times New Roman" w:hAnsi="Times New Roman" w:cs="Times New Roman"/>
          <w:color w:val="auto"/>
          <w:sz w:val="28"/>
          <w:szCs w:val="28"/>
          <w:lang w:val="en-US" w:eastAsia="zh-Hans"/>
        </w:rPr>
        <w:t>.</w:t>
      </w:r>
      <w:r>
        <w:rPr>
          <w:rFonts w:hint="default" w:ascii="Times New Roman" w:hAnsi="Times New Roman" w:cs="Times New Roman"/>
          <w:color w:val="auto"/>
          <w:sz w:val="28"/>
          <w:szCs w:val="28"/>
          <w:lang w:eastAsia="zh-Hans"/>
        </w:rPr>
        <w:t>4004。</w:t>
      </w:r>
      <w:r>
        <w:rPr>
          <w:rFonts w:hint="default" w:ascii="Times New Roman" w:hAnsi="Times New Roman" w:cs="Times New Roman"/>
          <w:b w:val="0"/>
          <w:bCs/>
          <w:color w:val="000000" w:themeColor="text1"/>
          <w:sz w:val="28"/>
          <w:szCs w:val="28"/>
          <w14:textFill>
            <w14:solidFill>
              <w14:schemeClr w14:val="tx1"/>
            </w14:solidFill>
          </w14:textFill>
        </w:rPr>
        <w:t>按照上述方法对</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一级</w:t>
      </w:r>
      <w:r>
        <w:rPr>
          <w:rFonts w:hint="default" w:ascii="Times New Roman" w:hAnsi="Times New Roman" w:cs="Times New Roman"/>
          <w:b w:val="0"/>
          <w:bCs/>
          <w:color w:val="000000" w:themeColor="text1"/>
          <w:sz w:val="28"/>
          <w:szCs w:val="28"/>
          <w14:textFill>
            <w14:solidFill>
              <w14:schemeClr w14:val="tx1"/>
            </w14:solidFill>
          </w14:textFill>
        </w:rPr>
        <w:t>指标进行计算，计算结果汇总见表4。</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从表</w:t>
      </w:r>
      <w:r>
        <w:rPr>
          <w:rFonts w:hint="default" w:ascii="Times New Roman" w:hAnsi="Times New Roman" w:cs="Times New Roman"/>
          <w:b w:val="0"/>
          <w:bCs/>
          <w:color w:val="000000" w:themeColor="text1"/>
          <w:sz w:val="28"/>
          <w:szCs w:val="28"/>
          <w:lang w:eastAsia="zh-Hans"/>
          <w14:textFill>
            <w14:solidFill>
              <w14:schemeClr w14:val="tx1"/>
            </w14:solidFill>
          </w14:textFill>
        </w:rPr>
        <w:t>4</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可以看出</w:t>
      </w:r>
      <w:r>
        <w:rPr>
          <w:rFonts w:hint="default" w:ascii="Times New Roman" w:hAnsi="Times New Roman" w:cs="Times New Roman"/>
          <w:b w:val="0"/>
          <w:bCs/>
          <w:color w:val="000000" w:themeColor="text1"/>
          <w:sz w:val="28"/>
          <w:szCs w:val="28"/>
          <w:lang w:eastAsia="zh-Hans"/>
          <w14:textFill>
            <w14:solidFill>
              <w14:schemeClr w14:val="tx1"/>
            </w14:solidFill>
          </w14:textFill>
        </w:rPr>
        <w:t>，</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品牌联想度U</w:t>
      </w:r>
      <w:r>
        <w:rPr>
          <w:rFonts w:hint="default" w:ascii="Times New Roman" w:hAnsi="Times New Roman" w:cs="Times New Roman"/>
          <w:b w:val="0"/>
          <w:bCs/>
          <w:color w:val="000000" w:themeColor="text1"/>
          <w:sz w:val="28"/>
          <w:szCs w:val="28"/>
          <w:vertAlign w:val="subscript"/>
          <w:lang w:val="en-US" w:eastAsia="zh-Hans"/>
          <w14:textFill>
            <w14:solidFill>
              <w14:schemeClr w14:val="tx1"/>
            </w14:solidFill>
          </w14:textFill>
        </w:rPr>
        <w:t>3</w:t>
      </w:r>
      <w:r>
        <w:rPr>
          <w:rFonts w:hint="default" w:ascii="Times New Roman" w:hAnsi="Times New Roman" w:eastAsia="宋体" w:cs="Times New Roman"/>
          <w:color w:val="auto"/>
          <w:sz w:val="28"/>
          <w:szCs w:val="28"/>
          <w:vertAlign w:val="baseline"/>
          <w:lang w:val="en-US" w:eastAsia="zh-Hans"/>
        </w:rPr>
        <w:t>和品牌忠诚度</w:t>
      </w:r>
      <w:r>
        <w:rPr>
          <w:rFonts w:hint="default" w:ascii="Times New Roman" w:hAnsi="Times New Roman" w:eastAsia="宋体" w:cs="Times New Roman"/>
          <w:color w:val="auto"/>
          <w:sz w:val="28"/>
          <w:szCs w:val="28"/>
          <w:vertAlign w:val="baseline"/>
          <w:lang w:eastAsia="zh-Hans"/>
        </w:rPr>
        <w:t>U</w:t>
      </w:r>
      <w:r>
        <w:rPr>
          <w:rFonts w:hint="default" w:ascii="Times New Roman" w:hAnsi="Times New Roman" w:eastAsia="宋体" w:cs="Times New Roman"/>
          <w:color w:val="auto"/>
          <w:sz w:val="28"/>
          <w:szCs w:val="28"/>
          <w:vertAlign w:val="subscript"/>
          <w:lang w:eastAsia="zh-Hans"/>
        </w:rPr>
        <w:t>4</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评价结果为“良好”评价级</w:t>
      </w:r>
      <w:r>
        <w:rPr>
          <w:rFonts w:hint="default" w:ascii="Times New Roman" w:hAnsi="Times New Roman" w:cs="Times New Roman"/>
          <w:b w:val="0"/>
          <w:bCs/>
          <w:color w:val="000000" w:themeColor="text1"/>
          <w:sz w:val="28"/>
          <w:szCs w:val="28"/>
          <w:lang w:eastAsia="zh-Hans"/>
          <w14:textFill>
            <w14:solidFill>
              <w14:schemeClr w14:val="tx1"/>
            </w14:solidFill>
          </w14:textFill>
        </w:rPr>
        <w:t>，</w:t>
      </w:r>
      <w:r>
        <w:rPr>
          <w:rFonts w:hint="default" w:ascii="Times New Roman" w:hAnsi="Times New Roman" w:eastAsia="宋体" w:cs="Times New Roman"/>
          <w:color w:val="auto"/>
          <w:sz w:val="28"/>
          <w:szCs w:val="28"/>
          <w:vertAlign w:val="baseline"/>
          <w:lang w:val="en-US" w:eastAsia="zh-Hans"/>
        </w:rPr>
        <w:t>品牌知名度</w:t>
      </w:r>
      <w:r>
        <w:rPr>
          <w:rFonts w:hint="default" w:ascii="Times New Roman" w:hAnsi="Times New Roman" w:eastAsia="宋体" w:cs="Times New Roman"/>
          <w:color w:val="auto"/>
          <w:sz w:val="28"/>
          <w:szCs w:val="28"/>
          <w:vertAlign w:val="baseline"/>
          <w:lang w:eastAsia="zh-Hans"/>
        </w:rPr>
        <w:t>U</w:t>
      </w:r>
      <w:r>
        <w:rPr>
          <w:rFonts w:hint="default" w:ascii="Times New Roman" w:hAnsi="Times New Roman" w:eastAsia="宋体" w:cs="Times New Roman"/>
          <w:color w:val="auto"/>
          <w:sz w:val="28"/>
          <w:szCs w:val="28"/>
          <w:vertAlign w:val="subscript"/>
          <w:lang w:eastAsia="zh-Hans"/>
        </w:rPr>
        <w:t>1、</w:t>
      </w:r>
      <w:r>
        <w:rPr>
          <w:rFonts w:hint="default" w:ascii="Times New Roman" w:hAnsi="Times New Roman" w:eastAsia="宋体" w:cs="Times New Roman"/>
          <w:color w:val="auto"/>
          <w:sz w:val="28"/>
          <w:szCs w:val="28"/>
          <w:vertAlign w:val="baseline"/>
          <w:lang w:val="en-US" w:eastAsia="zh-Hans"/>
        </w:rPr>
        <w:t>品牌认知度</w:t>
      </w:r>
      <w:r>
        <w:rPr>
          <w:rFonts w:hint="default" w:ascii="Times New Roman" w:hAnsi="Times New Roman" w:eastAsia="宋体" w:cs="Times New Roman"/>
          <w:color w:val="auto"/>
          <w:sz w:val="28"/>
          <w:szCs w:val="28"/>
          <w:vertAlign w:val="baseline"/>
          <w:lang w:eastAsia="zh-Hans"/>
        </w:rPr>
        <w:t>U</w:t>
      </w:r>
      <w:r>
        <w:rPr>
          <w:rFonts w:hint="default" w:ascii="Times New Roman" w:hAnsi="Times New Roman" w:eastAsia="宋体" w:cs="Times New Roman"/>
          <w:color w:val="auto"/>
          <w:sz w:val="28"/>
          <w:szCs w:val="28"/>
          <w:vertAlign w:val="subscript"/>
          <w:lang w:eastAsia="zh-Hans"/>
        </w:rPr>
        <w:t>2</w:t>
      </w:r>
      <w:r>
        <w:rPr>
          <w:rFonts w:hint="default" w:ascii="Times New Roman" w:hAnsi="Times New Roman" w:eastAsia="宋体" w:cs="Times New Roman"/>
          <w:color w:val="auto"/>
          <w:sz w:val="28"/>
          <w:szCs w:val="28"/>
          <w:vertAlign w:val="baseline"/>
          <w:lang w:val="en-US" w:eastAsia="zh-Hans"/>
        </w:rPr>
        <w:t>和</w:t>
      </w:r>
      <w:r>
        <w:rPr>
          <w:rFonts w:hint="default" w:ascii="Times New Roman" w:hAnsi="Times New Roman" w:cs="Times New Roman"/>
          <w:color w:val="auto"/>
          <w:sz w:val="28"/>
          <w:szCs w:val="28"/>
          <w:vertAlign w:val="baseline"/>
          <w:lang w:val="en-US" w:eastAsia="zh-Hans"/>
        </w:rPr>
        <w:t>品牌美誉度</w:t>
      </w:r>
      <w:r>
        <w:rPr>
          <w:rFonts w:hint="default" w:ascii="Times New Roman" w:hAnsi="Times New Roman" w:cs="Times New Roman"/>
          <w:color w:val="auto"/>
          <w:sz w:val="28"/>
          <w:szCs w:val="28"/>
          <w:vertAlign w:val="baseline"/>
          <w:lang w:eastAsia="zh-Hans"/>
        </w:rPr>
        <w:t>U</w:t>
      </w:r>
      <w:r>
        <w:rPr>
          <w:rFonts w:hint="default" w:ascii="Times New Roman" w:hAnsi="Times New Roman" w:cs="Times New Roman"/>
          <w:color w:val="auto"/>
          <w:sz w:val="28"/>
          <w:szCs w:val="28"/>
          <w:vertAlign w:val="subscript"/>
          <w:lang w:eastAsia="zh-Hans"/>
        </w:rPr>
        <w:t>5</w:t>
      </w:r>
      <w:r>
        <w:rPr>
          <w:rFonts w:hint="default" w:ascii="Times New Roman" w:hAnsi="Times New Roman" w:cs="Times New Roman"/>
          <w:b w:val="0"/>
          <w:bCs/>
          <w:color w:val="000000" w:themeColor="text1"/>
          <w:sz w:val="28"/>
          <w:szCs w:val="28"/>
          <w:lang w:val="en-US" w:eastAsia="zh-Hans"/>
          <w14:textFill>
            <w14:solidFill>
              <w14:schemeClr w14:val="tx1"/>
            </w14:solidFill>
          </w14:textFill>
        </w:rPr>
        <w:t>评价结果为“一般”评价级</w:t>
      </w:r>
      <w:r>
        <w:rPr>
          <w:rFonts w:hint="default" w:ascii="Times New Roman" w:hAnsi="Times New Roman" w:cs="Times New Roman"/>
          <w:b w:val="0"/>
          <w:bCs/>
          <w:color w:val="000000" w:themeColor="text1"/>
          <w:sz w:val="28"/>
          <w:szCs w:val="28"/>
          <w:lang w:eastAsia="zh-Hans"/>
          <w14:textFill>
            <w14:solidFill>
              <w14:schemeClr w14:val="tx1"/>
            </w14:solidFill>
          </w14:textFill>
        </w:rPr>
        <w:t>。</w:t>
      </w:r>
    </w:p>
    <w:p>
      <w:pPr>
        <w:pStyle w:val="34"/>
        <w:keepNext w:val="0"/>
        <w:keepLines w:val="0"/>
        <w:pageBreakBefore w:val="0"/>
        <w:widowControl w:val="0"/>
        <w:kinsoku/>
        <w:wordWrap/>
        <w:overflowPunct/>
        <w:topLinePunct w:val="0"/>
        <w:autoSpaceDE/>
        <w:autoSpaceDN/>
        <w:bidi w:val="0"/>
        <w:adjustRightInd/>
        <w:snapToGrid/>
        <w:ind w:left="0" w:firstLine="0" w:firstLineChars="0"/>
        <w:jc w:val="center"/>
        <w:textAlignment w:val="auto"/>
        <w:rPr>
          <w:rFonts w:hint="default" w:ascii="Times New Roman" w:hAnsi="Times New Roman" w:eastAsia="黑体" w:cs="Times New Roman"/>
          <w:color w:val="000000" w:themeColor="text1"/>
          <w:sz w:val="24"/>
          <w:szCs w:val="24"/>
          <w:lang w:val="en-US" w:eastAsia="zh-Hans"/>
          <w14:textFill>
            <w14:solidFill>
              <w14:schemeClr w14:val="tx1"/>
            </w14:solidFill>
          </w14:textFill>
        </w:rPr>
      </w:pPr>
      <w:r>
        <w:rPr>
          <w:rFonts w:hint="default" w:ascii="Times New Roman" w:hAnsi="Times New Roman" w:eastAsia="黑体" w:cs="Times New Roman"/>
          <w:color w:val="000000" w:themeColor="text1"/>
          <w:sz w:val="24"/>
          <w:szCs w:val="24"/>
          <w:lang w:val="en-US" w:eastAsia="zh-Hans"/>
          <w14:textFill>
            <w14:solidFill>
              <w14:schemeClr w14:val="tx1"/>
            </w14:solidFill>
          </w14:textFill>
        </w:rPr>
        <w:t>表4一级指标模糊评价结果表</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0"/>
        <w:gridCol w:w="3240"/>
        <w:gridCol w:w="3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240" w:type="dxa"/>
          </w:tcPr>
          <w:p>
            <w:pPr>
              <w:spacing w:line="360" w:lineRule="auto"/>
              <w:ind w:left="0" w:leftChars="0" w:firstLine="0" w:firstLineChars="0"/>
              <w:jc w:val="center"/>
              <w:rPr>
                <w:rFonts w:hint="default" w:ascii="Times New Roman" w:hAnsi="Times New Roman" w:cs="Times New Roman" w:eastAsiaTheme="minorEastAsia"/>
                <w:b w:val="0"/>
                <w:bCs/>
                <w:color w:val="000000" w:themeColor="text1"/>
                <w:sz w:val="24"/>
                <w:szCs w:val="24"/>
                <w:vertAlign w:val="baseline"/>
                <w:lang w:val="en-US" w:eastAsia="zh-Hans"/>
                <w14:textFill>
                  <w14:solidFill>
                    <w14:schemeClr w14:val="tx1"/>
                  </w14:solidFill>
                </w14:textFill>
              </w:rPr>
            </w:pPr>
            <w:r>
              <w:rPr>
                <w:rFonts w:hint="default" w:ascii="Times New Roman" w:hAnsi="Times New Roman" w:cs="Times New Roman"/>
                <w:b w:val="0"/>
                <w:bCs/>
                <w:color w:val="000000" w:themeColor="text1"/>
                <w:sz w:val="24"/>
                <w:szCs w:val="24"/>
                <w:vertAlign w:val="baseline"/>
                <w:lang w:val="en-US" w:eastAsia="zh-Hans"/>
                <w14:textFill>
                  <w14:solidFill>
                    <w14:schemeClr w14:val="tx1"/>
                  </w14:solidFill>
                </w14:textFill>
              </w:rPr>
              <w:t>一级指标</w:t>
            </w:r>
          </w:p>
        </w:tc>
        <w:tc>
          <w:tcPr>
            <w:tcW w:w="3240" w:type="dxa"/>
          </w:tcPr>
          <w:p>
            <w:pPr>
              <w:spacing w:line="360" w:lineRule="auto"/>
              <w:ind w:left="0" w:leftChars="0" w:firstLine="0" w:firstLineChars="0"/>
              <w:jc w:val="center"/>
              <w:rPr>
                <w:rFonts w:hint="default" w:ascii="Times New Roman" w:hAnsi="Times New Roman" w:cs="Times New Roman" w:eastAsiaTheme="minorEastAsia"/>
                <w:b w:val="0"/>
                <w:bCs/>
                <w:color w:val="000000" w:themeColor="text1"/>
                <w:sz w:val="24"/>
                <w:szCs w:val="24"/>
                <w:vertAlign w:val="baseline"/>
                <w:lang w:val="en-US" w:eastAsia="zh-Hans"/>
                <w14:textFill>
                  <w14:solidFill>
                    <w14:schemeClr w14:val="tx1"/>
                  </w14:solidFill>
                </w14:textFill>
              </w:rPr>
            </w:pPr>
            <w:r>
              <w:rPr>
                <w:rFonts w:hint="default" w:ascii="Times New Roman" w:hAnsi="Times New Roman" w:cs="Times New Roman"/>
                <w:b w:val="0"/>
                <w:bCs/>
                <w:color w:val="000000" w:themeColor="text1"/>
                <w:sz w:val="24"/>
                <w:szCs w:val="24"/>
                <w:vertAlign w:val="baseline"/>
                <w:lang w:val="en-US" w:eastAsia="zh-Hans"/>
                <w14:textFill>
                  <w14:solidFill>
                    <w14:schemeClr w14:val="tx1"/>
                  </w14:solidFill>
                </w14:textFill>
              </w:rPr>
              <w:t>评价结果</w:t>
            </w:r>
          </w:p>
        </w:tc>
        <w:tc>
          <w:tcPr>
            <w:tcW w:w="3240" w:type="dxa"/>
          </w:tcPr>
          <w:p>
            <w:pPr>
              <w:spacing w:line="360" w:lineRule="auto"/>
              <w:ind w:left="0" w:leftChars="0" w:firstLine="0" w:firstLineChars="0"/>
              <w:jc w:val="center"/>
              <w:rPr>
                <w:rFonts w:hint="default" w:ascii="Times New Roman" w:hAnsi="Times New Roman" w:cs="Times New Roman" w:eastAsiaTheme="minorEastAsia"/>
                <w:b w:val="0"/>
                <w:bCs/>
                <w:color w:val="000000" w:themeColor="text1"/>
                <w:sz w:val="24"/>
                <w:szCs w:val="24"/>
                <w:vertAlign w:val="baseline"/>
                <w:lang w:val="en-US" w:eastAsia="zh-Hans"/>
                <w14:textFill>
                  <w14:solidFill>
                    <w14:schemeClr w14:val="tx1"/>
                  </w14:solidFill>
                </w14:textFill>
              </w:rPr>
            </w:pPr>
            <w:r>
              <w:rPr>
                <w:rFonts w:hint="default" w:ascii="Times New Roman" w:hAnsi="Times New Roman" w:cs="Times New Roman"/>
                <w:b w:val="0"/>
                <w:bCs/>
                <w:color w:val="000000" w:themeColor="text1"/>
                <w:sz w:val="24"/>
                <w:szCs w:val="24"/>
                <w:vertAlign w:val="baseline"/>
                <w:lang w:val="en-US" w:eastAsia="zh-Hans"/>
                <w14:textFill>
                  <w14:solidFill>
                    <w14:schemeClr w14:val="tx1"/>
                  </w14:solidFill>
                </w14:textFill>
              </w:rPr>
              <w:t>隶属度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240" w:type="dxa"/>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color w:val="auto"/>
                <w:sz w:val="24"/>
                <w:szCs w:val="24"/>
                <w:vertAlign w:val="baseline"/>
                <w:lang w:val="en-US" w:eastAsia="zh-Hans"/>
              </w:rPr>
              <w:t>品牌知名度</w:t>
            </w:r>
            <w:r>
              <w:rPr>
                <w:rFonts w:hint="default" w:ascii="Times New Roman" w:hAnsi="Times New Roman" w:eastAsia="宋体" w:cs="Times New Roman"/>
                <w:color w:val="auto"/>
                <w:sz w:val="24"/>
                <w:szCs w:val="24"/>
                <w:vertAlign w:val="baseline"/>
                <w:lang w:eastAsia="zh-Hans"/>
              </w:rPr>
              <w:t>U</w:t>
            </w:r>
            <w:r>
              <w:rPr>
                <w:rFonts w:hint="default" w:ascii="Times New Roman" w:hAnsi="Times New Roman" w:eastAsia="宋体" w:cs="Times New Roman"/>
                <w:color w:val="auto"/>
                <w:sz w:val="24"/>
                <w:szCs w:val="24"/>
                <w:vertAlign w:val="subscript"/>
                <w:lang w:eastAsia="zh-Hans"/>
              </w:rPr>
              <w:t>1</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4004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240" w:type="dxa"/>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color w:val="auto"/>
                <w:sz w:val="24"/>
                <w:szCs w:val="24"/>
                <w:vertAlign w:val="baseline"/>
                <w:lang w:val="en-US" w:eastAsia="zh-Hans"/>
              </w:rPr>
              <w:t>品牌认知度</w:t>
            </w:r>
            <w:r>
              <w:rPr>
                <w:rFonts w:hint="default" w:ascii="Times New Roman" w:hAnsi="Times New Roman" w:eastAsia="宋体" w:cs="Times New Roman"/>
                <w:color w:val="auto"/>
                <w:sz w:val="24"/>
                <w:szCs w:val="24"/>
                <w:vertAlign w:val="baseline"/>
                <w:lang w:eastAsia="zh-Hans"/>
              </w:rPr>
              <w:t>U</w:t>
            </w:r>
            <w:r>
              <w:rPr>
                <w:rFonts w:hint="default" w:ascii="Times New Roman" w:hAnsi="Times New Roman" w:eastAsia="宋体" w:cs="Times New Roman"/>
                <w:color w:val="auto"/>
                <w:sz w:val="24"/>
                <w:szCs w:val="24"/>
                <w:vertAlign w:val="subscript"/>
                <w:lang w:eastAsia="zh-Hans"/>
              </w:rPr>
              <w:t>2</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240" w:type="dxa"/>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color w:val="auto"/>
                <w:sz w:val="24"/>
                <w:szCs w:val="24"/>
                <w:vertAlign w:val="baseline"/>
                <w:lang w:val="en-US" w:eastAsia="zh-Hans"/>
              </w:rPr>
              <w:t>品牌联想度</w:t>
            </w:r>
            <w:r>
              <w:rPr>
                <w:rFonts w:hint="default" w:ascii="Times New Roman" w:hAnsi="Times New Roman" w:eastAsia="宋体" w:cs="Times New Roman"/>
                <w:color w:val="auto"/>
                <w:sz w:val="24"/>
                <w:szCs w:val="24"/>
                <w:vertAlign w:val="baseline"/>
                <w:lang w:eastAsia="zh-Hans"/>
              </w:rPr>
              <w:t>U</w:t>
            </w:r>
            <w:r>
              <w:rPr>
                <w:rFonts w:hint="default" w:ascii="Times New Roman" w:hAnsi="Times New Roman" w:eastAsia="宋体" w:cs="Times New Roman"/>
                <w:color w:val="auto"/>
                <w:sz w:val="24"/>
                <w:szCs w:val="24"/>
                <w:vertAlign w:val="subscript"/>
                <w:lang w:eastAsia="zh-Hans"/>
              </w:rPr>
              <w:t>3</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良好</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240" w:type="dxa"/>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eastAsia="宋体" w:cs="Times New Roman"/>
                <w:color w:val="auto"/>
                <w:sz w:val="24"/>
                <w:szCs w:val="24"/>
                <w:vertAlign w:val="baseline"/>
                <w:lang w:val="en-US" w:eastAsia="zh-Hans"/>
              </w:rPr>
              <w:t>品牌忠诚度</w:t>
            </w:r>
            <w:r>
              <w:rPr>
                <w:rFonts w:hint="default" w:ascii="Times New Roman" w:hAnsi="Times New Roman" w:eastAsia="宋体" w:cs="Times New Roman"/>
                <w:color w:val="auto"/>
                <w:sz w:val="24"/>
                <w:szCs w:val="24"/>
                <w:vertAlign w:val="baseline"/>
                <w:lang w:eastAsia="zh-Hans"/>
              </w:rPr>
              <w:t>U</w:t>
            </w:r>
            <w:r>
              <w:rPr>
                <w:rFonts w:hint="default" w:ascii="Times New Roman" w:hAnsi="Times New Roman" w:eastAsia="宋体" w:cs="Times New Roman"/>
                <w:color w:val="auto"/>
                <w:sz w:val="24"/>
                <w:szCs w:val="24"/>
                <w:vertAlign w:val="subscript"/>
                <w:lang w:eastAsia="zh-Hans"/>
              </w:rPr>
              <w:t>4</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val="en-US" w:eastAsia="zh-Hans"/>
              </w:rPr>
              <w:t>良好</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3240" w:type="dxa"/>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vertAlign w:val="baseline"/>
                <w:lang w:val="en-US" w:eastAsia="zh-Hans"/>
              </w:rPr>
              <w:t>品牌美誉度</w:t>
            </w:r>
            <w:r>
              <w:rPr>
                <w:rFonts w:hint="default" w:ascii="Times New Roman" w:hAnsi="Times New Roman" w:cs="Times New Roman"/>
                <w:color w:val="auto"/>
                <w:sz w:val="24"/>
                <w:szCs w:val="24"/>
                <w:vertAlign w:val="baseline"/>
                <w:lang w:eastAsia="zh-Hans"/>
              </w:rPr>
              <w:t>U</w:t>
            </w:r>
            <w:r>
              <w:rPr>
                <w:rFonts w:hint="default" w:ascii="Times New Roman" w:hAnsi="Times New Roman" w:cs="Times New Roman"/>
                <w:color w:val="auto"/>
                <w:sz w:val="24"/>
                <w:szCs w:val="24"/>
                <w:vertAlign w:val="subscript"/>
                <w:lang w:eastAsia="zh-Hans"/>
              </w:rPr>
              <w:t>5</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一般</w:t>
            </w:r>
          </w:p>
        </w:tc>
        <w:tc>
          <w:tcPr>
            <w:tcW w:w="3240" w:type="dxa"/>
          </w:tcPr>
          <w:p>
            <w:pPr>
              <w:spacing w:line="360" w:lineRule="auto"/>
              <w:ind w:left="0" w:leftChars="0" w:firstLine="0" w:firstLineChars="0"/>
              <w:jc w:val="center"/>
              <w:rPr>
                <w:rFonts w:hint="default" w:ascii="Times New Roman" w:hAnsi="Times New Roman" w:cs="Times New Roman"/>
                <w:b w:val="0"/>
                <w:bCs/>
                <w:color w:val="000000" w:themeColor="text1"/>
                <w:sz w:val="24"/>
                <w:szCs w:val="24"/>
                <w:vertAlign w:val="baseline"/>
                <w14:textFill>
                  <w14:solidFill>
                    <w14:schemeClr w14:val="tx1"/>
                  </w14:solidFill>
                </w14:textFill>
              </w:rPr>
            </w:pPr>
            <w:r>
              <w:rPr>
                <w:rFonts w:hint="default" w:ascii="Times New Roman" w:hAnsi="Times New Roman" w:cs="Times New Roman"/>
                <w:color w:val="auto"/>
                <w:sz w:val="24"/>
                <w:szCs w:val="24"/>
                <w:lang w:eastAsia="zh-Hans"/>
              </w:rPr>
              <w:t>0</w:t>
            </w:r>
            <w:r>
              <w:rPr>
                <w:rFonts w:hint="default" w:ascii="Times New Roman" w:hAnsi="Times New Roman" w:cs="Times New Roman"/>
                <w:color w:val="auto"/>
                <w:sz w:val="24"/>
                <w:szCs w:val="24"/>
                <w:lang w:val="en-US" w:eastAsia="zh-Hans"/>
              </w:rPr>
              <w:t>.</w:t>
            </w:r>
            <w:r>
              <w:rPr>
                <w:rFonts w:hint="default" w:ascii="Times New Roman" w:hAnsi="Times New Roman" w:cs="Times New Roman"/>
                <w:color w:val="auto"/>
                <w:sz w:val="24"/>
                <w:szCs w:val="24"/>
                <w:lang w:eastAsia="zh-Hans"/>
              </w:rPr>
              <w:t>3295</w:t>
            </w:r>
          </w:p>
        </w:tc>
      </w:tr>
    </w:tbl>
    <w:p>
      <w:pPr>
        <w:pStyle w:val="5"/>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44"/>
          <w:lang w:eastAsia="zh-Hans"/>
        </w:rPr>
      </w:pPr>
      <w:bookmarkStart w:id="27" w:name="_Toc928303022"/>
      <w:r>
        <w:rPr>
          <w:rFonts w:hint="default" w:ascii="Times New Roman" w:hAnsi="Times New Roman" w:cs="Times New Roman"/>
          <w:sz w:val="28"/>
          <w:szCs w:val="44"/>
          <w:lang w:eastAsia="zh-Hans"/>
        </w:rPr>
        <w:t xml:space="preserve">3. </w:t>
      </w:r>
      <w:r>
        <w:rPr>
          <w:rFonts w:hint="default" w:ascii="Times New Roman" w:hAnsi="Times New Roman" w:cs="Times New Roman"/>
          <w:sz w:val="28"/>
          <w:szCs w:val="44"/>
          <w:lang w:val="en-US" w:eastAsia="zh-Hans"/>
        </w:rPr>
        <w:t>赛事</w:t>
      </w:r>
      <w:r>
        <w:rPr>
          <w:rFonts w:hint="default" w:ascii="Times New Roman" w:hAnsi="Times New Roman" w:cs="Times New Roman"/>
          <w:sz w:val="28"/>
          <w:szCs w:val="44"/>
        </w:rPr>
        <w:t>品牌</w:t>
      </w:r>
      <w:r>
        <w:rPr>
          <w:rFonts w:hint="default" w:ascii="Times New Roman" w:hAnsi="Times New Roman" w:cs="Times New Roman"/>
          <w:sz w:val="28"/>
          <w:szCs w:val="44"/>
          <w:lang w:val="en-US" w:eastAsia="zh-Hans"/>
        </w:rPr>
        <w:t>塑造评价</w:t>
      </w:r>
      <w:r>
        <w:rPr>
          <w:rFonts w:hint="default" w:ascii="Times New Roman" w:hAnsi="Times New Roman" w:cs="Times New Roman"/>
          <w:sz w:val="28"/>
          <w:szCs w:val="44"/>
          <w:lang w:eastAsia="zh-Hans"/>
        </w:rPr>
        <w:t>。</w:t>
      </w:r>
      <w:bookmarkEnd w:id="27"/>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color w:val="000000" w:themeColor="text1"/>
          <w:sz w:val="28"/>
          <w:szCs w:val="36"/>
          <w14:textFill>
            <w14:solidFill>
              <w14:schemeClr w14:val="tx1"/>
            </w14:solidFill>
          </w14:textFill>
        </w:rPr>
      </w:pPr>
      <w:r>
        <w:rPr>
          <w:rFonts w:hint="default" w:ascii="Times New Roman" w:hAnsi="Times New Roman" w:cs="Times New Roman"/>
          <w:color w:val="auto"/>
          <w:sz w:val="28"/>
          <w:szCs w:val="36"/>
          <w:lang w:val="en-US" w:eastAsia="zh-Hans"/>
        </w:rPr>
        <w:t>建立包头市第十四届运动会赛事</w:t>
      </w:r>
      <w:r>
        <w:rPr>
          <w:rFonts w:hint="default" w:ascii="Times New Roman" w:hAnsi="Times New Roman" w:cs="Times New Roman"/>
          <w:color w:val="000000" w:themeColor="text1"/>
          <w:sz w:val="28"/>
          <w:szCs w:val="36"/>
          <w14:textFill>
            <w14:solidFill>
              <w14:schemeClr w14:val="tx1"/>
            </w14:solidFill>
          </w14:textFill>
        </w:rPr>
        <w:t>品牌</w:t>
      </w:r>
      <w:r>
        <w:rPr>
          <w:rFonts w:hint="default" w:ascii="Times New Roman" w:hAnsi="Times New Roman" w:cs="Times New Roman"/>
          <w:color w:val="000000" w:themeColor="text1"/>
          <w:sz w:val="28"/>
          <w:szCs w:val="36"/>
          <w:lang w:val="en-US" w:eastAsia="zh-Hans"/>
          <w14:textFill>
            <w14:solidFill>
              <w14:schemeClr w14:val="tx1"/>
            </w14:solidFill>
          </w14:textFill>
        </w:rPr>
        <w:t>塑造综合</w:t>
      </w:r>
      <w:r>
        <w:rPr>
          <w:rFonts w:hint="default" w:ascii="Times New Roman" w:hAnsi="Times New Roman" w:cs="Times New Roman"/>
          <w:color w:val="000000" w:themeColor="text1"/>
          <w:sz w:val="28"/>
          <w:szCs w:val="36"/>
          <w14:textFill>
            <w14:solidFill>
              <w14:schemeClr w14:val="tx1"/>
            </w14:solidFill>
          </w14:textFill>
        </w:rPr>
        <w:t>评价的因素集合U和评价等级集合V，那么两者的集合分别为：U={U</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2</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3</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4</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5</w:t>
      </w:r>
      <w:r>
        <w:rPr>
          <w:rFonts w:hint="default" w:ascii="Times New Roman" w:hAnsi="Times New Roman" w:cs="Times New Roman"/>
          <w:color w:val="000000" w:themeColor="text1"/>
          <w:sz w:val="28"/>
          <w:szCs w:val="36"/>
          <w14:textFill>
            <w14:solidFill>
              <w14:schemeClr w14:val="tx1"/>
            </w14:solidFill>
          </w14:textFill>
        </w:rPr>
        <w:t>}，V={V</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，V</w:t>
      </w:r>
      <w:r>
        <w:rPr>
          <w:rFonts w:hint="default" w:ascii="Times New Roman" w:hAnsi="Times New Roman" w:cs="Times New Roman"/>
          <w:color w:val="000000" w:themeColor="text1"/>
          <w:sz w:val="28"/>
          <w:szCs w:val="36"/>
          <w:vertAlign w:val="subscript"/>
          <w14:textFill>
            <w14:solidFill>
              <w14:schemeClr w14:val="tx1"/>
            </w14:solidFill>
          </w14:textFill>
        </w:rPr>
        <w:t>2</w:t>
      </w:r>
      <w:r>
        <w:rPr>
          <w:rFonts w:hint="default" w:ascii="Times New Roman" w:hAnsi="Times New Roman" w:cs="Times New Roman"/>
          <w:color w:val="000000" w:themeColor="text1"/>
          <w:sz w:val="28"/>
          <w:szCs w:val="36"/>
          <w14:textFill>
            <w14:solidFill>
              <w14:schemeClr w14:val="tx1"/>
            </w14:solidFill>
          </w14:textFill>
        </w:rPr>
        <w:t>，V</w:t>
      </w:r>
      <w:r>
        <w:rPr>
          <w:rFonts w:hint="default" w:ascii="Times New Roman" w:hAnsi="Times New Roman" w:cs="Times New Roman"/>
          <w:color w:val="000000" w:themeColor="text1"/>
          <w:sz w:val="28"/>
          <w:szCs w:val="36"/>
          <w:vertAlign w:val="subscript"/>
          <w14:textFill>
            <w14:solidFill>
              <w14:schemeClr w14:val="tx1"/>
            </w14:solidFill>
          </w14:textFill>
        </w:rPr>
        <w:t>3</w:t>
      </w:r>
      <w:r>
        <w:rPr>
          <w:rFonts w:hint="default" w:ascii="Times New Roman" w:hAnsi="Times New Roman" w:cs="Times New Roman"/>
          <w:color w:val="000000" w:themeColor="text1"/>
          <w:sz w:val="28"/>
          <w:szCs w:val="36"/>
          <w14:textFill>
            <w14:solidFill>
              <w14:schemeClr w14:val="tx1"/>
            </w14:solidFill>
          </w14:textFill>
        </w:rPr>
        <w:t>，V</w:t>
      </w:r>
      <w:r>
        <w:rPr>
          <w:rFonts w:hint="default" w:ascii="Times New Roman" w:hAnsi="Times New Roman" w:cs="Times New Roman"/>
          <w:color w:val="000000" w:themeColor="text1"/>
          <w:sz w:val="28"/>
          <w:szCs w:val="36"/>
          <w:vertAlign w:val="subscript"/>
          <w14:textFill>
            <w14:solidFill>
              <w14:schemeClr w14:val="tx1"/>
            </w14:solidFill>
          </w14:textFill>
        </w:rPr>
        <w:t>4</w:t>
      </w:r>
      <w:r>
        <w:rPr>
          <w:rFonts w:hint="default" w:ascii="Times New Roman" w:hAnsi="Times New Roman" w:cs="Times New Roman"/>
          <w:color w:val="000000" w:themeColor="text1"/>
          <w:sz w:val="28"/>
          <w:szCs w:val="36"/>
          <w14:textFill>
            <w14:solidFill>
              <w14:schemeClr w14:val="tx1"/>
            </w14:solidFill>
          </w14:textFill>
        </w:rPr>
        <w:t>}。品牌知名度U</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的隶属度为：r</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=（0.2600，0.4004，0.2281，0.1115）；品牌认知度U</w:t>
      </w:r>
      <w:r>
        <w:rPr>
          <w:rFonts w:hint="default" w:ascii="Times New Roman" w:hAnsi="Times New Roman" w:cs="Times New Roman"/>
          <w:color w:val="000000" w:themeColor="text1"/>
          <w:sz w:val="28"/>
          <w:szCs w:val="36"/>
          <w:vertAlign w:val="subscript"/>
          <w14:textFill>
            <w14:solidFill>
              <w14:schemeClr w14:val="tx1"/>
            </w14:solidFill>
          </w14:textFill>
        </w:rPr>
        <w:t>2</w:t>
      </w:r>
      <w:r>
        <w:rPr>
          <w:rFonts w:hint="default" w:ascii="Times New Roman" w:hAnsi="Times New Roman" w:cs="Times New Roman"/>
          <w:color w:val="000000" w:themeColor="text1"/>
          <w:sz w:val="28"/>
          <w:szCs w:val="36"/>
          <w14:textFill>
            <w14:solidFill>
              <w14:schemeClr w14:val="tx1"/>
            </w14:solidFill>
          </w14:textFill>
        </w:rPr>
        <w:t>的隶属度为：r</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=（0.1783，0.3023，0.2835，0.2121）；品牌联想度U</w:t>
      </w:r>
      <w:r>
        <w:rPr>
          <w:rFonts w:hint="default" w:ascii="Times New Roman" w:hAnsi="Times New Roman" w:cs="Times New Roman"/>
          <w:color w:val="000000" w:themeColor="text1"/>
          <w:sz w:val="28"/>
          <w:szCs w:val="36"/>
          <w:vertAlign w:val="subscript"/>
          <w14:textFill>
            <w14:solidFill>
              <w14:schemeClr w14:val="tx1"/>
            </w14:solidFill>
          </w14:textFill>
        </w:rPr>
        <w:t>3</w:t>
      </w:r>
      <w:r>
        <w:rPr>
          <w:rFonts w:hint="default" w:ascii="Times New Roman" w:hAnsi="Times New Roman" w:cs="Times New Roman"/>
          <w:color w:val="000000" w:themeColor="text1"/>
          <w:sz w:val="28"/>
          <w:szCs w:val="36"/>
          <w14:textFill>
            <w14:solidFill>
              <w14:schemeClr w14:val="tx1"/>
            </w14:solidFill>
          </w14:textFill>
        </w:rPr>
        <w:t>的隶属度为：r</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=（0.1184，0.2606，0.3605，0.2605）；品牌忠诚度U</w:t>
      </w:r>
      <w:r>
        <w:rPr>
          <w:rFonts w:hint="default" w:ascii="Times New Roman" w:hAnsi="Times New Roman" w:cs="Times New Roman"/>
          <w:color w:val="000000" w:themeColor="text1"/>
          <w:sz w:val="28"/>
          <w:szCs w:val="36"/>
          <w:vertAlign w:val="subscript"/>
          <w14:textFill>
            <w14:solidFill>
              <w14:schemeClr w14:val="tx1"/>
            </w14:solidFill>
          </w14:textFill>
        </w:rPr>
        <w:t>4</w:t>
      </w:r>
      <w:r>
        <w:rPr>
          <w:rFonts w:hint="default" w:ascii="Times New Roman" w:hAnsi="Times New Roman" w:cs="Times New Roman"/>
          <w:color w:val="000000" w:themeColor="text1"/>
          <w:sz w:val="28"/>
          <w:szCs w:val="36"/>
          <w14:textFill>
            <w14:solidFill>
              <w14:schemeClr w14:val="tx1"/>
            </w14:solidFill>
          </w14:textFill>
        </w:rPr>
        <w:t>的隶属度为：r</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=（0.1016，0.2504，0.3386，0.3094）；品牌美誉度U</w:t>
      </w:r>
      <w:r>
        <w:rPr>
          <w:rFonts w:hint="default" w:ascii="Times New Roman" w:hAnsi="Times New Roman" w:cs="Times New Roman"/>
          <w:color w:val="000000" w:themeColor="text1"/>
          <w:sz w:val="28"/>
          <w:szCs w:val="36"/>
          <w:vertAlign w:val="subscript"/>
          <w14:textFill>
            <w14:solidFill>
              <w14:schemeClr w14:val="tx1"/>
            </w14:solidFill>
          </w14:textFill>
        </w:rPr>
        <w:t>5</w:t>
      </w:r>
      <w:r>
        <w:rPr>
          <w:rFonts w:hint="default" w:ascii="Times New Roman" w:hAnsi="Times New Roman" w:cs="Times New Roman"/>
          <w:color w:val="000000" w:themeColor="text1"/>
          <w:sz w:val="28"/>
          <w:szCs w:val="36"/>
          <w14:textFill>
            <w14:solidFill>
              <w14:schemeClr w14:val="tx1"/>
            </w14:solidFill>
          </w14:textFill>
        </w:rPr>
        <w:t>的隶属度为：r</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=（0.1616，0.3295，0.3040，0.2049）。由此得出</w:t>
      </w:r>
      <w:r>
        <w:rPr>
          <w:rFonts w:hint="default" w:ascii="Times New Roman" w:hAnsi="Times New Roman" w:cs="Times New Roman"/>
          <w:color w:val="auto"/>
          <w:sz w:val="28"/>
          <w:szCs w:val="36"/>
          <w:lang w:val="en-US" w:eastAsia="zh-Hans"/>
        </w:rPr>
        <w:t>包头市第十四届运动会赛事</w:t>
      </w:r>
      <w:r>
        <w:rPr>
          <w:rFonts w:hint="default" w:ascii="Times New Roman" w:hAnsi="Times New Roman" w:cs="Times New Roman"/>
          <w:color w:val="000000" w:themeColor="text1"/>
          <w:sz w:val="28"/>
          <w:szCs w:val="36"/>
          <w14:textFill>
            <w14:solidFill>
              <w14:schemeClr w14:val="tx1"/>
            </w14:solidFill>
          </w14:textFill>
        </w:rPr>
        <w:t>品牌</w:t>
      </w:r>
      <w:r>
        <w:rPr>
          <w:rFonts w:hint="default" w:ascii="Times New Roman" w:hAnsi="Times New Roman" w:cs="Times New Roman"/>
          <w:color w:val="000000" w:themeColor="text1"/>
          <w:sz w:val="28"/>
          <w:szCs w:val="36"/>
          <w:lang w:val="en-US" w:eastAsia="zh-Hans"/>
          <w14:textFill>
            <w14:solidFill>
              <w14:schemeClr w14:val="tx1"/>
            </w14:solidFill>
          </w14:textFill>
        </w:rPr>
        <w:t>塑造</w:t>
      </w:r>
      <w:r>
        <w:rPr>
          <w:rFonts w:hint="default" w:ascii="Times New Roman" w:hAnsi="Times New Roman" w:cs="Times New Roman"/>
          <w:color w:val="000000" w:themeColor="text1"/>
          <w:sz w:val="28"/>
          <w:szCs w:val="36"/>
          <w14:textFill>
            <w14:solidFill>
              <w14:schemeClr w14:val="tx1"/>
            </w14:solidFill>
          </w14:textFill>
        </w:rPr>
        <w:t>U的评价矩阵为：</w:t>
      </w:r>
    </w:p>
    <w:p>
      <w:pPr>
        <w:spacing w:line="360" w:lineRule="auto"/>
        <w:ind w:firstLine="480"/>
        <w:rPr>
          <w:rFonts w:hint="default" w:ascii="Times New Roman" w:hAnsi="Times New Roman" w:cs="Times New Roman"/>
          <w:color w:val="000000" w:themeColor="text1"/>
          <w14:textFill>
            <w14:solidFill>
              <w14:schemeClr w14:val="tx1"/>
            </w14:solidFill>
          </w14:textFill>
        </w:rPr>
      </w:pPr>
      <m:oMathPara>
        <m:oMath>
          <m:r>
            <m:rPr/>
            <w:rPr>
              <w:rFonts w:hint="default" w:ascii="Cambria Math" w:hAnsi="Cambria Math" w:cs="Times New Roman"/>
              <w:color w:val="000000"/>
              <w:sz w:val="28"/>
            </w:rPr>
            <m:t>R</m:t>
          </m:r>
          <m:r>
            <m:rPr/>
            <w:rPr>
              <w:rFonts w:hint="default" w:ascii="Cambria Math" w:hAnsi="Cambria Math" w:cs="Times New Roman"/>
              <w:color w:val="000000"/>
              <w:sz w:val="28"/>
              <w:szCs w:val="28"/>
            </w:rPr>
            <m:t>=</m:t>
          </m:r>
          <m:d>
            <m:dPr>
              <m:begChr m:val="["/>
              <m:endChr m:val="]"/>
              <m:ctrlPr>
                <w:rPr>
                  <w:rFonts w:hint="default" w:ascii="Cambria Math" w:hAnsi="Cambria Math" w:cs="Times New Roman"/>
                  <w:i/>
                  <w:color w:val="000000"/>
                  <w:sz w:val="28"/>
                  <w:szCs w:val="28"/>
                </w:rPr>
              </m:ctrlPr>
            </m:dPr>
            <m:e>
              <m:m>
                <m:mPr>
                  <m:mcs>
                    <m:mc>
                      <m:mcPr>
                        <m:count m:val="4"/>
                        <m:mcJc m:val="center"/>
                      </m:mcPr>
                    </m:mc>
                  </m:mcs>
                  <m:rSp m:val="3"/>
                  <m:rSpRule m:val="4"/>
                  <m:ctrlPr>
                    <w:rPr>
                      <w:rFonts w:hint="default" w:ascii="Cambria Math" w:hAnsi="Cambria Math" w:cs="Times New Roman"/>
                      <w:i w:val="0"/>
                      <w:iCs/>
                      <w:color w:val="000000"/>
                      <w:sz w:val="28"/>
                      <w:szCs w:val="28"/>
                    </w:rPr>
                  </m:ctrlPr>
                </m:mPr>
                <m:mr>
                  <m:e>
                    <m:r>
                      <m:rPr>
                        <m:sty m:val="p"/>
                      </m:rPr>
                      <w:rPr>
                        <w:rFonts w:hint="default" w:ascii="Cambria Math" w:hAnsi="Cambria Math" w:cs="Times New Roman"/>
                        <w:color w:val="000000"/>
                        <w:sz w:val="28"/>
                        <w:szCs w:val="28"/>
                      </w:rPr>
                      <m:t>0.2600</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0.4004</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0.2281</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0.1115</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0.1783</m:t>
                    </m:r>
                    <m:ctrlPr>
                      <w:rPr>
                        <w:rFonts w:hint="default" w:ascii="Cambria Math" w:hAnsi="Cambria Math" w:cs="Times New Roman"/>
                        <w:i w:val="0"/>
                        <w:iCs/>
                        <w:color w:val="000000"/>
                        <w:sz w:val="28"/>
                        <w:szCs w:val="28"/>
                      </w:rPr>
                    </m:ctrlPr>
                  </m:e>
                  <m:e>
                    <m:r>
                      <m:rPr>
                        <m:sty m:val="p"/>
                      </m:rPr>
                      <w:rPr>
                        <w:rFonts w:hint="default" w:ascii="Cambria Math" w:hAnsi="Cambria Math" w:cs="Times New Roman"/>
                        <w:color w:val="000000"/>
                        <w:sz w:val="28"/>
                        <w:szCs w:val="28"/>
                      </w:rPr>
                      <m:t>0.3023</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0.2835</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0.2121</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0.1184</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0.2606</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0.3605</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0.2605</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0.1016</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0.2504</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0.3386</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0.3094</m:t>
                    </m:r>
                    <m:ctrlPr>
                      <w:rPr>
                        <w:rFonts w:hint="default" w:ascii="Cambria Math" w:hAnsi="Cambria Math" w:eastAsia="Cambria Math" w:cs="Times New Roman"/>
                        <w:i w:val="0"/>
                        <w:iCs/>
                        <w:color w:val="000000"/>
                        <w:sz w:val="28"/>
                        <w:szCs w:val="28"/>
                      </w:rPr>
                    </m:ctrlPr>
                  </m:e>
                </m:mr>
                <m:mr>
                  <m:e>
                    <m:r>
                      <m:rPr>
                        <m:sty m:val="p"/>
                      </m:rPr>
                      <w:rPr>
                        <w:rFonts w:hint="default" w:ascii="Cambria Math" w:hAnsi="Cambria Math" w:cs="Times New Roman"/>
                        <w:color w:val="000000"/>
                        <w:sz w:val="28"/>
                        <w:szCs w:val="28"/>
                      </w:rPr>
                      <m:t>0.1616</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0.3295</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0.3040</m:t>
                    </m:r>
                    <m:ctrlPr>
                      <w:rPr>
                        <w:rFonts w:hint="default" w:ascii="Cambria Math" w:hAnsi="Cambria Math" w:eastAsia="Cambria Math" w:cs="Times New Roman"/>
                        <w:i w:val="0"/>
                        <w:iCs/>
                        <w:color w:val="000000"/>
                        <w:sz w:val="28"/>
                        <w:szCs w:val="28"/>
                      </w:rPr>
                    </m:ctrlPr>
                  </m:e>
                  <m:e>
                    <m:r>
                      <m:rPr>
                        <m:sty m:val="p"/>
                      </m:rPr>
                      <w:rPr>
                        <w:rFonts w:hint="default" w:ascii="Cambria Math" w:hAnsi="Cambria Math" w:cs="Times New Roman"/>
                        <w:color w:val="000000"/>
                        <w:sz w:val="28"/>
                        <w:szCs w:val="28"/>
                      </w:rPr>
                      <m:t>0.2049</m:t>
                    </m:r>
                    <m:ctrlPr>
                      <w:rPr>
                        <w:rFonts w:hint="default" w:ascii="Cambria Math" w:hAnsi="Cambria Math" w:eastAsia="Cambria Math" w:cs="Times New Roman"/>
                        <w:i w:val="0"/>
                        <w:iCs/>
                        <w:color w:val="000000"/>
                        <w:sz w:val="28"/>
                        <w:szCs w:val="28"/>
                      </w:rPr>
                    </m:ctrlPr>
                  </m:e>
                </m:mr>
              </m:m>
              <m:ctrlPr>
                <w:rPr>
                  <w:rFonts w:hint="default" w:ascii="Cambria Math" w:hAnsi="Cambria Math" w:cs="Times New Roman"/>
                  <w:i/>
                  <w:color w:val="000000"/>
                  <w:sz w:val="28"/>
                  <w:szCs w:val="28"/>
                </w:rPr>
              </m:ctrlPr>
            </m:e>
          </m:d>
        </m:oMath>
      </m:oMathPara>
    </w:p>
    <w:p>
      <w:pPr>
        <w:ind w:firstLine="480"/>
        <w:rPr>
          <w:rFonts w:hint="default" w:ascii="Times New Roman" w:hAnsi="Times New Roman" w:cs="Times New Roman"/>
          <w:color w:val="000000" w:themeColor="text1"/>
          <w:sz w:val="28"/>
          <w:szCs w:val="36"/>
          <w:lang w:val="en-US" w:eastAsia="zh-Hans"/>
          <w14:textFill>
            <w14:solidFill>
              <w14:schemeClr w14:val="tx1"/>
            </w14:solidFill>
          </w14:textFill>
        </w:rPr>
      </w:pP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1</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2</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3</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4</w:t>
      </w:r>
      <w:r>
        <w:rPr>
          <w:rFonts w:hint="default" w:ascii="Times New Roman" w:hAnsi="Times New Roman" w:cs="Times New Roman"/>
          <w:color w:val="000000" w:themeColor="text1"/>
          <w:sz w:val="28"/>
          <w:szCs w:val="36"/>
          <w14:textFill>
            <w14:solidFill>
              <w14:schemeClr w14:val="tx1"/>
            </w14:solidFill>
          </w14:textFill>
        </w:rPr>
        <w:t>，U</w:t>
      </w:r>
      <w:r>
        <w:rPr>
          <w:rFonts w:hint="default" w:ascii="Times New Roman" w:hAnsi="Times New Roman" w:cs="Times New Roman"/>
          <w:color w:val="000000" w:themeColor="text1"/>
          <w:sz w:val="28"/>
          <w:szCs w:val="36"/>
          <w:vertAlign w:val="subscript"/>
          <w14:textFill>
            <w14:solidFill>
              <w14:schemeClr w14:val="tx1"/>
            </w14:solidFill>
          </w14:textFill>
        </w:rPr>
        <w:t>5</w:t>
      </w:r>
      <w:r>
        <w:rPr>
          <w:rFonts w:hint="default" w:ascii="Times New Roman" w:hAnsi="Times New Roman" w:cs="Times New Roman"/>
          <w:color w:val="000000" w:themeColor="text1"/>
          <w:sz w:val="28"/>
          <w:szCs w:val="36"/>
          <w14:textFill>
            <w14:solidFill>
              <w14:schemeClr w14:val="tx1"/>
            </w14:solidFill>
          </w14:textFill>
        </w:rPr>
        <w:t>的权重为（</w:t>
      </w:r>
      <w:r>
        <w:rPr>
          <w:rFonts w:hint="default" w:ascii="Times New Roman" w:hAnsi="Times New Roman" w:cs="Times New Roman"/>
          <w:color w:val="auto"/>
          <w:sz w:val="28"/>
          <w:szCs w:val="36"/>
        </w:rPr>
        <w:t>0.3338，0.1082，0.2869，0.1156，0.1556），</w:t>
      </w:r>
      <w:r>
        <w:rPr>
          <w:rFonts w:hint="default" w:ascii="Times New Roman" w:hAnsi="Times New Roman" w:cs="Times New Roman"/>
          <w:color w:val="000000" w:themeColor="text1"/>
          <w:sz w:val="28"/>
          <w:szCs w:val="36"/>
          <w14:textFill>
            <w14:solidFill>
              <w14:schemeClr w14:val="tx1"/>
            </w14:solidFill>
          </w14:textFill>
        </w:rPr>
        <w:t>可以得出U的综合评价结果为U=（0.1769，0.3213，0.2967，0.2025），</w:t>
      </w:r>
      <w:r>
        <w:rPr>
          <w:rFonts w:hint="default" w:ascii="Times New Roman" w:hAnsi="Times New Roman" w:cs="Times New Roman"/>
          <w:color w:val="auto"/>
          <w:sz w:val="28"/>
          <w:szCs w:val="36"/>
          <w:lang w:val="en-US" w:eastAsia="zh-Hans"/>
        </w:rPr>
        <w:t>根据最大隶属度方法评判，包头市第十四届运动会赛事</w:t>
      </w:r>
      <w:r>
        <w:rPr>
          <w:rFonts w:hint="default" w:ascii="Times New Roman" w:hAnsi="Times New Roman" w:cs="Times New Roman"/>
          <w:color w:val="000000" w:themeColor="text1"/>
          <w:sz w:val="28"/>
          <w:szCs w:val="36"/>
          <w14:textFill>
            <w14:solidFill>
              <w14:schemeClr w14:val="tx1"/>
            </w14:solidFill>
          </w14:textFill>
        </w:rPr>
        <w:t>品牌</w:t>
      </w:r>
      <w:r>
        <w:rPr>
          <w:rFonts w:hint="default" w:ascii="Times New Roman" w:hAnsi="Times New Roman" w:cs="Times New Roman"/>
          <w:color w:val="000000" w:themeColor="text1"/>
          <w:sz w:val="28"/>
          <w:szCs w:val="36"/>
          <w:lang w:val="en-US" w:eastAsia="zh-Hans"/>
          <w14:textFill>
            <w14:solidFill>
              <w14:schemeClr w14:val="tx1"/>
            </w14:solidFill>
          </w14:textFill>
        </w:rPr>
        <w:t>塑造</w:t>
      </w:r>
      <w:r>
        <w:rPr>
          <w:rFonts w:hint="default" w:ascii="Times New Roman" w:hAnsi="Times New Roman" w:cs="Times New Roman"/>
          <w:color w:val="auto"/>
          <w:sz w:val="28"/>
          <w:szCs w:val="36"/>
          <w:lang w:val="en-US" w:eastAsia="zh-Hans"/>
        </w:rPr>
        <w:t>的评价</w:t>
      </w:r>
      <w:r>
        <w:rPr>
          <w:rFonts w:hint="default" w:ascii="Times New Roman" w:hAnsi="Times New Roman" w:cs="Times New Roman"/>
          <w:b w:val="0"/>
          <w:bCs w:val="0"/>
          <w:color w:val="auto"/>
          <w:sz w:val="28"/>
          <w:szCs w:val="36"/>
          <w:lang w:val="en-US" w:eastAsia="zh-Hans"/>
        </w:rPr>
        <w:t>结果隶</w:t>
      </w:r>
      <w:r>
        <w:rPr>
          <w:rFonts w:hint="default" w:ascii="Times New Roman" w:hAnsi="Times New Roman" w:cs="Times New Roman"/>
          <w:color w:val="auto"/>
          <w:sz w:val="28"/>
          <w:szCs w:val="36"/>
          <w:lang w:val="en-US" w:eastAsia="zh-Hans"/>
        </w:rPr>
        <w:t>属“</w:t>
      </w:r>
      <w:r>
        <w:rPr>
          <w:rFonts w:hint="default" w:ascii="Times New Roman" w:hAnsi="Times New Roman" w:cs="Times New Roman"/>
          <w:color w:val="auto"/>
          <w:sz w:val="28"/>
          <w:szCs w:val="36"/>
          <w:lang w:eastAsia="zh-Hans"/>
        </w:rPr>
        <w:t>一般”</w:t>
      </w:r>
      <w:r>
        <w:rPr>
          <w:rFonts w:hint="default" w:ascii="Times New Roman" w:hAnsi="Times New Roman" w:cs="Times New Roman"/>
          <w:color w:val="auto"/>
          <w:sz w:val="28"/>
          <w:szCs w:val="36"/>
          <w:lang w:val="en-US" w:eastAsia="zh-Hans"/>
        </w:rPr>
        <w:t>级评语，隶属度为</w:t>
      </w:r>
      <w:r>
        <w:rPr>
          <w:rFonts w:hint="default" w:ascii="Times New Roman" w:hAnsi="Times New Roman" w:cs="Times New Roman"/>
          <w:color w:val="auto"/>
          <w:sz w:val="28"/>
          <w:szCs w:val="36"/>
          <w:lang w:eastAsia="zh-Hans"/>
        </w:rPr>
        <w:t>0</w:t>
      </w:r>
      <w:r>
        <w:rPr>
          <w:rFonts w:hint="default" w:ascii="Times New Roman" w:hAnsi="Times New Roman" w:cs="Times New Roman"/>
          <w:color w:val="auto"/>
          <w:sz w:val="28"/>
          <w:szCs w:val="36"/>
          <w:lang w:val="en-US" w:eastAsia="zh-Hans"/>
        </w:rPr>
        <w:t>.</w:t>
      </w:r>
      <w:r>
        <w:rPr>
          <w:rFonts w:hint="default" w:ascii="Times New Roman" w:hAnsi="Times New Roman" w:cs="Times New Roman"/>
          <w:color w:val="auto"/>
          <w:sz w:val="28"/>
          <w:szCs w:val="36"/>
          <w:lang w:eastAsia="zh-Hans"/>
        </w:rPr>
        <w:t>3213。</w:t>
      </w:r>
    </w:p>
    <w:p>
      <w:pPr>
        <w:pStyle w:val="4"/>
        <w:pageBreakBefore w:val="0"/>
        <w:widowControl w:val="0"/>
        <w:kinsoku/>
        <w:wordWrap/>
        <w:overflowPunct/>
        <w:topLinePunct w:val="0"/>
        <w:autoSpaceDE/>
        <w:autoSpaceDN/>
        <w:bidi w:val="0"/>
        <w:adjustRightInd/>
        <w:snapToGrid/>
        <w:ind w:firstLine="562" w:firstLineChars="200"/>
        <w:textAlignment w:val="auto"/>
        <w:rPr>
          <w:rFonts w:hint="eastAsia" w:ascii="宋体" w:hAnsi="宋体" w:eastAsia="宋体" w:cs="宋体"/>
          <w:b/>
          <w:bCs/>
          <w:color w:val="auto"/>
          <w:kern w:val="2"/>
          <w:sz w:val="28"/>
          <w:szCs w:val="28"/>
          <w:lang w:val="en-US" w:eastAsia="zh-CN" w:bidi="ar-SA"/>
        </w:rPr>
      </w:pPr>
      <w:bookmarkStart w:id="28" w:name="_Toc520195299"/>
      <w:bookmarkStart w:id="29" w:name="_Toc450252527"/>
      <w:r>
        <w:rPr>
          <w:rFonts w:hint="eastAsia" w:ascii="宋体" w:hAnsi="宋体" w:eastAsia="宋体" w:cs="宋体"/>
          <w:b/>
          <w:bCs/>
          <w:color w:val="auto"/>
          <w:kern w:val="2"/>
          <w:sz w:val="28"/>
          <w:szCs w:val="28"/>
          <w:lang w:val="en-US" w:eastAsia="zh-CN" w:bidi="ar-SA"/>
        </w:rPr>
        <w:t>四</w:t>
      </w:r>
      <w:r>
        <w:rPr>
          <w:rFonts w:hint="eastAsia" w:ascii="宋体" w:hAnsi="宋体" w:eastAsia="宋体" w:cs="宋体"/>
          <w:b/>
          <w:bCs/>
          <w:color w:val="auto"/>
          <w:kern w:val="2"/>
          <w:sz w:val="28"/>
          <w:szCs w:val="28"/>
          <w:lang w:val="en-US" w:eastAsia="zh-Hans" w:bidi="ar-SA"/>
        </w:rPr>
        <w:t>、</w:t>
      </w:r>
      <w:r>
        <w:rPr>
          <w:rFonts w:hint="eastAsia" w:ascii="宋体" w:hAnsi="宋体" w:eastAsia="宋体" w:cs="宋体"/>
          <w:b/>
          <w:bCs/>
          <w:color w:val="auto"/>
          <w:kern w:val="2"/>
          <w:sz w:val="28"/>
          <w:szCs w:val="28"/>
          <w:lang w:val="en-US" w:eastAsia="zh-CN" w:bidi="ar-SA"/>
        </w:rPr>
        <w:t>包头市体育赛事</w:t>
      </w:r>
      <w:r>
        <w:rPr>
          <w:rFonts w:hint="eastAsia" w:ascii="宋体" w:hAnsi="宋体" w:eastAsia="宋体" w:cs="宋体"/>
          <w:b/>
          <w:bCs/>
          <w:color w:val="auto"/>
          <w:kern w:val="2"/>
          <w:sz w:val="28"/>
          <w:szCs w:val="28"/>
          <w:lang w:val="en-US" w:eastAsia="zh-Hans" w:bidi="ar-SA"/>
        </w:rPr>
        <w:t>品牌的</w:t>
      </w:r>
      <w:r>
        <w:rPr>
          <w:rFonts w:hint="eastAsia" w:ascii="宋体" w:hAnsi="宋体" w:eastAsia="宋体" w:cs="宋体"/>
          <w:b/>
          <w:bCs/>
          <w:color w:val="auto"/>
          <w:kern w:val="2"/>
          <w:sz w:val="28"/>
          <w:szCs w:val="28"/>
          <w:lang w:val="en-US" w:eastAsia="zh-CN" w:bidi="ar-SA"/>
        </w:rPr>
        <w:t>发展路径</w:t>
      </w:r>
      <w:bookmarkEnd w:id="28"/>
      <w:bookmarkEnd w:id="29"/>
    </w:p>
    <w:p>
      <w:pPr>
        <w:pStyle w:val="4"/>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eastAsia="黑体" w:cs="Times New Roman"/>
          <w:b w:val="0"/>
          <w:bCs w:val="0"/>
          <w:color w:val="auto"/>
          <w:kern w:val="2"/>
          <w:sz w:val="28"/>
          <w:szCs w:val="28"/>
          <w:lang w:val="en-US" w:eastAsia="zh-CN" w:bidi="ar-SA"/>
        </w:rPr>
      </w:pPr>
      <w:bookmarkStart w:id="30" w:name="_Toc516463356"/>
      <w:r>
        <w:rPr>
          <w:rFonts w:hint="eastAsia" w:ascii="宋体" w:hAnsi="宋体" w:eastAsia="宋体" w:cs="宋体"/>
          <w:b w:val="0"/>
          <w:bCs w:val="0"/>
          <w:sz w:val="28"/>
          <w:szCs w:val="28"/>
          <w:lang w:eastAsia="zh-Hans"/>
        </w:rPr>
        <w:t>（</w:t>
      </w:r>
      <w:r>
        <w:rPr>
          <w:rFonts w:hint="eastAsia" w:ascii="宋体" w:hAnsi="宋体" w:eastAsia="宋体" w:cs="宋体"/>
          <w:b w:val="0"/>
          <w:bCs w:val="0"/>
          <w:color w:val="auto"/>
          <w:kern w:val="2"/>
          <w:sz w:val="28"/>
          <w:szCs w:val="28"/>
          <w:lang w:val="en-US" w:eastAsia="zh-Hans" w:bidi="ar-SA"/>
        </w:rPr>
        <w:t>一）</w:t>
      </w:r>
      <w:r>
        <w:rPr>
          <w:rFonts w:hint="eastAsia" w:ascii="宋体" w:hAnsi="宋体" w:eastAsia="宋体" w:cs="宋体"/>
          <w:b w:val="0"/>
          <w:bCs w:val="0"/>
          <w:color w:val="auto"/>
          <w:kern w:val="2"/>
          <w:sz w:val="28"/>
          <w:szCs w:val="28"/>
          <w:lang w:val="en-US" w:eastAsia="zh-CN" w:bidi="ar-SA"/>
        </w:rPr>
        <w:t>多元融合：提升</w:t>
      </w:r>
      <w:r>
        <w:rPr>
          <w:rFonts w:hint="eastAsia" w:ascii="宋体" w:hAnsi="宋体" w:eastAsia="宋体" w:cs="宋体"/>
          <w:b w:val="0"/>
          <w:bCs w:val="0"/>
          <w:color w:val="auto"/>
          <w:kern w:val="2"/>
          <w:sz w:val="28"/>
          <w:szCs w:val="28"/>
          <w:lang w:val="en-US" w:eastAsia="zh-Hans" w:bidi="ar-SA"/>
        </w:rPr>
        <w:t>包头市体育</w:t>
      </w:r>
      <w:r>
        <w:rPr>
          <w:rFonts w:hint="eastAsia" w:ascii="宋体" w:hAnsi="宋体" w:eastAsia="宋体" w:cs="宋体"/>
          <w:b w:val="0"/>
          <w:bCs w:val="0"/>
          <w:color w:val="auto"/>
          <w:kern w:val="2"/>
          <w:sz w:val="28"/>
          <w:szCs w:val="28"/>
          <w:lang w:val="en-US" w:eastAsia="zh-CN" w:bidi="ar-SA"/>
        </w:rPr>
        <w:t>赛事品牌知名度</w:t>
      </w:r>
      <w:bookmarkEnd w:id="30"/>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lang w:val="en-US" w:eastAsia="zh-CN"/>
        </w:rPr>
      </w:pPr>
      <w:bookmarkStart w:id="31" w:name="_Toc70723118"/>
      <w:bookmarkStart w:id="32" w:name="_Toc1809332908"/>
      <w:r>
        <w:rPr>
          <w:rFonts w:hint="default" w:ascii="Times New Roman" w:hAnsi="Times New Roman" w:cs="Times New Roman"/>
          <w:sz w:val="28"/>
          <w:szCs w:val="28"/>
          <w:lang w:val="en-US" w:eastAsia="zh-CN"/>
        </w:rPr>
        <w:t>赛事的品牌知名度是赛事在举办过程中影响力、民众认可度、参与度、以及民众对赛事印象深刻程度的合集，赛事的品牌知名度主要依靠赛事内容与赛事品牌塑造。而丰富赛事内容、开发赛事品牌，首先就是找准赛事定位，包头市体育赛事品牌知名度的提升要注重融合多方需求，在充分满足消费者、投资者、参与者以及运动员需求的基础上进行品牌建设，进行充分市场调查的同时结合包头市所处地理环境的特点为赛事品牌找准定位。在品牌定位过程中要注重突出包头市体育赛事的独特性，避免同质性。其次，提高赛事品牌知名度就要将赛事打造成全面发展且环环相扣的规模化赛事品牌。打通赛事上下游环节，从赛事开发、赛事筹备、赛事举办到赛后价值延伸，环环相扣，每一环节都具有十分丰富的开发价值，通过对赛事的充分开发，将包头市体育赛事打造成具有包头特色的赛事品牌。最后，加强宣传与推广是包头市体育赛事品牌建设的基础。在建设好自身品牌的基础上加之强有力的宣传，综合运用各种社交媒体、融媒体，以及包头本地网红达人、名人等效应，进行充分宣传。同时包头本土地区要充分开发本地民众对于本土赛事的参与度，提高参与人群对本土赛事品牌的粘滞性。</w:t>
      </w:r>
      <w:bookmarkEnd w:id="31"/>
      <w:bookmarkEnd w:id="32"/>
    </w:p>
    <w:p>
      <w:pPr>
        <w:pStyle w:val="4"/>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color w:val="auto"/>
          <w:kern w:val="2"/>
          <w:sz w:val="28"/>
          <w:szCs w:val="28"/>
          <w:lang w:val="en-US" w:eastAsia="zh-CN" w:bidi="ar-SA"/>
        </w:rPr>
      </w:pPr>
      <w:bookmarkStart w:id="33" w:name="_Toc1084987435"/>
      <w:r>
        <w:rPr>
          <w:rFonts w:hint="eastAsia" w:ascii="宋体" w:hAnsi="宋体" w:eastAsia="宋体" w:cs="宋体"/>
          <w:b w:val="0"/>
          <w:bCs w:val="0"/>
          <w:color w:val="auto"/>
          <w:kern w:val="2"/>
          <w:sz w:val="28"/>
          <w:szCs w:val="28"/>
          <w:lang w:val="en-US" w:eastAsia="zh-Hans" w:bidi="ar-SA"/>
        </w:rPr>
        <w:t>（二）</w:t>
      </w:r>
      <w:r>
        <w:rPr>
          <w:rFonts w:hint="eastAsia" w:ascii="宋体" w:hAnsi="宋体" w:eastAsia="宋体" w:cs="宋体"/>
          <w:b w:val="0"/>
          <w:bCs w:val="0"/>
          <w:color w:val="auto"/>
          <w:kern w:val="2"/>
          <w:sz w:val="28"/>
          <w:szCs w:val="28"/>
          <w:lang w:val="en-US" w:eastAsia="zh-CN" w:bidi="ar-SA"/>
        </w:rPr>
        <w:t>以人为本：强化</w:t>
      </w:r>
      <w:r>
        <w:rPr>
          <w:rFonts w:hint="eastAsia" w:ascii="宋体" w:hAnsi="宋体" w:eastAsia="宋体" w:cs="宋体"/>
          <w:b w:val="0"/>
          <w:bCs w:val="0"/>
          <w:color w:val="auto"/>
          <w:kern w:val="2"/>
          <w:sz w:val="28"/>
          <w:szCs w:val="28"/>
          <w:lang w:val="en-US" w:eastAsia="zh-Hans" w:bidi="ar-SA"/>
        </w:rPr>
        <w:t>包头市体育</w:t>
      </w:r>
      <w:r>
        <w:rPr>
          <w:rFonts w:hint="eastAsia" w:ascii="宋体" w:hAnsi="宋体" w:eastAsia="宋体" w:cs="宋体"/>
          <w:b w:val="0"/>
          <w:bCs w:val="0"/>
          <w:color w:val="auto"/>
          <w:kern w:val="2"/>
          <w:sz w:val="28"/>
          <w:szCs w:val="28"/>
          <w:lang w:val="en-US" w:eastAsia="zh-CN" w:bidi="ar-SA"/>
        </w:rPr>
        <w:t>赛事品牌认知度</w:t>
      </w:r>
      <w:bookmarkEnd w:id="33"/>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lang w:val="en-US" w:eastAsia="zh-CN"/>
        </w:rPr>
      </w:pPr>
      <w:bookmarkStart w:id="34" w:name="_Toc1100173368"/>
      <w:bookmarkStart w:id="35" w:name="_Toc1089743236"/>
      <w:r>
        <w:rPr>
          <w:rFonts w:hint="default" w:ascii="Times New Roman" w:hAnsi="Times New Roman" w:cs="Times New Roman"/>
          <w:sz w:val="28"/>
          <w:szCs w:val="28"/>
          <w:lang w:val="en-US" w:eastAsia="zh-CN"/>
        </w:rPr>
        <w:t>赛事品牌认知度是包头市体育赛事品牌塑造不可或缺的一步，其主体是赛事受众，重点是赛事受众对赛事的内涵以及价值的认知程度。强化包头市体育赛事品牌认知度的关键点是要做到以人为本。首先，充分挖掘赛事的文化价值。包头市位于内蒙古自治区中部，交通方便，人文价值丰富，蒙古族聚居的特点使得包头市体育赛事品牌建设可开发的民族特色文化丰厚。在举办体育赛事的过程中要注重民族传统体育特色文化的开发，以民族特色文化吸引消费者的注意，吸引消费者的参与。其次，包头市体育赛事品牌塑造离不开赛后遗产的开发。赛事遗产能够使得当地群众从中获益良多，举办赛事期间的体育设施等能够开发成为群众健身场所，将相关赛事的基础设施进行充分的开发利用，同时，开发相关景观的观赏价值。将包头市体育赛事的影响力无限延伸，使得群众能够在赛事结束之后依旧沉浸在包头市体育赛事的魅力中，为包头市体育赛事品牌塑造助力。最后，加强运营管理。赛事品牌塑造的关键离不开良好的运营，从赛前、赛中到赛后，一项赛事要想形成品牌离不开良好的运营环境，因此，进行包头市体育赛事品牌塑造需要良好的运营管理。</w:t>
      </w:r>
      <w:bookmarkEnd w:id="34"/>
      <w:bookmarkEnd w:id="35"/>
    </w:p>
    <w:p>
      <w:pPr>
        <w:pStyle w:val="4"/>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color w:val="auto"/>
          <w:kern w:val="2"/>
          <w:sz w:val="28"/>
          <w:szCs w:val="28"/>
          <w:lang w:val="en-US" w:eastAsia="zh-CN" w:bidi="ar-SA"/>
        </w:rPr>
      </w:pPr>
      <w:bookmarkStart w:id="36" w:name="_Toc779595306"/>
      <w:r>
        <w:rPr>
          <w:rFonts w:hint="eastAsia" w:ascii="宋体" w:hAnsi="宋体" w:eastAsia="宋体" w:cs="宋体"/>
          <w:b w:val="0"/>
          <w:bCs w:val="0"/>
          <w:color w:val="auto"/>
          <w:kern w:val="2"/>
          <w:sz w:val="28"/>
          <w:szCs w:val="28"/>
          <w:lang w:val="en-US" w:eastAsia="zh-CN" w:bidi="ar-SA"/>
        </w:rPr>
        <w:t>（</w:t>
      </w:r>
      <w:r>
        <w:rPr>
          <w:rFonts w:hint="eastAsia" w:ascii="宋体" w:hAnsi="宋体" w:eastAsia="宋体" w:cs="宋体"/>
          <w:b w:val="0"/>
          <w:bCs w:val="0"/>
          <w:color w:val="auto"/>
          <w:kern w:val="2"/>
          <w:sz w:val="28"/>
          <w:szCs w:val="28"/>
          <w:lang w:val="en-US" w:eastAsia="zh-Hans" w:bidi="ar-SA"/>
        </w:rPr>
        <w:t>三</w:t>
      </w:r>
      <w:r>
        <w:rPr>
          <w:rFonts w:hint="eastAsia" w:ascii="宋体" w:hAnsi="宋体" w:eastAsia="宋体" w:cs="宋体"/>
          <w:b w:val="0"/>
          <w:bCs w:val="0"/>
          <w:color w:val="auto"/>
          <w:kern w:val="2"/>
          <w:sz w:val="28"/>
          <w:szCs w:val="28"/>
          <w:lang w:val="en-US" w:eastAsia="zh-CN" w:bidi="ar-SA"/>
        </w:rPr>
        <w:t>）创新发展：构建</w:t>
      </w:r>
      <w:r>
        <w:rPr>
          <w:rFonts w:hint="eastAsia" w:ascii="宋体" w:hAnsi="宋体" w:eastAsia="宋体" w:cs="宋体"/>
          <w:b w:val="0"/>
          <w:bCs w:val="0"/>
          <w:color w:val="auto"/>
          <w:kern w:val="2"/>
          <w:sz w:val="28"/>
          <w:szCs w:val="28"/>
          <w:lang w:val="en-US" w:eastAsia="zh-Hans" w:bidi="ar-SA"/>
        </w:rPr>
        <w:t>包头市体育</w:t>
      </w:r>
      <w:r>
        <w:rPr>
          <w:rFonts w:hint="eastAsia" w:ascii="宋体" w:hAnsi="宋体" w:eastAsia="宋体" w:cs="宋体"/>
          <w:b w:val="0"/>
          <w:bCs w:val="0"/>
          <w:color w:val="auto"/>
          <w:kern w:val="2"/>
          <w:sz w:val="28"/>
          <w:szCs w:val="28"/>
          <w:lang w:val="en-US" w:eastAsia="zh-CN" w:bidi="ar-SA"/>
        </w:rPr>
        <w:t>赛事品牌联想度</w:t>
      </w:r>
      <w:bookmarkEnd w:id="36"/>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lang w:val="en-US" w:eastAsia="zh-CN"/>
        </w:rPr>
      </w:pPr>
      <w:bookmarkStart w:id="37" w:name="_Toc1574025836"/>
      <w:bookmarkStart w:id="38" w:name="_Toc860577595"/>
      <w:r>
        <w:rPr>
          <w:rFonts w:hint="default" w:ascii="Times New Roman" w:hAnsi="Times New Roman" w:cs="Times New Roman"/>
          <w:sz w:val="28"/>
          <w:szCs w:val="28"/>
          <w:lang w:val="en-US" w:eastAsia="zh-CN"/>
        </w:rPr>
        <w:t>赛事品牌联想度是指在参与一项体育赛事的过程中，能够很快的联想到与赛事相关的内容，并在此过程中能够引起参与者的情感认同和共鸣。而良好的体育赛事品牌联想度要求体育赛事品牌具有自身的独特性，具有使消费者、参与者印象深刻的内涵，这就要求包头市体育赛事品牌塑造过程中要进行创新，在创新中谋求发展。首先，建立差异化的赛事品牌。包头市体育赛事品牌塑造的关键是找到与其他类型以及同类型体育赛事的比较差异，使得赛事的目标群体能够在众多赛事中唯独对包头市体育赛事品牌具有情有独钟，对赛事的创新之处与独特之处记忆犹新，构建起良好的赛事联想度。其次，进行市场调查，充分了解目标受众需求。赛事品牌联想度的最终目标是通过对赛事品牌的创新发展满足目标受众的需求，使目标受众的满意度提升。通过市场调查，了解目标受众的物质及情感需求，有针对性的进行赛事品牌的开发，更好的满足目标受众的需求，进而使的目标受众参与赛事的可能性进一步提升。</w:t>
      </w:r>
      <w:bookmarkEnd w:id="37"/>
      <w:bookmarkEnd w:id="38"/>
    </w:p>
    <w:p>
      <w:pPr>
        <w:pStyle w:val="4"/>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color w:val="auto"/>
          <w:kern w:val="2"/>
          <w:sz w:val="28"/>
          <w:szCs w:val="28"/>
          <w:lang w:val="en-US" w:eastAsia="zh-CN" w:bidi="ar-SA"/>
        </w:rPr>
      </w:pPr>
      <w:bookmarkStart w:id="39" w:name="_Toc425276620"/>
      <w:r>
        <w:rPr>
          <w:rFonts w:hint="eastAsia" w:ascii="宋体" w:hAnsi="宋体" w:eastAsia="宋体" w:cs="宋体"/>
          <w:b w:val="0"/>
          <w:bCs w:val="0"/>
          <w:color w:val="auto"/>
          <w:kern w:val="2"/>
          <w:sz w:val="28"/>
          <w:szCs w:val="28"/>
          <w:lang w:val="en-US" w:eastAsia="zh-Hans" w:bidi="ar-SA"/>
        </w:rPr>
        <w:t>（四）</w:t>
      </w:r>
      <w:r>
        <w:rPr>
          <w:rFonts w:hint="eastAsia" w:ascii="宋体" w:hAnsi="宋体" w:eastAsia="宋体" w:cs="宋体"/>
          <w:b w:val="0"/>
          <w:bCs w:val="0"/>
          <w:color w:val="auto"/>
          <w:kern w:val="2"/>
          <w:sz w:val="28"/>
          <w:szCs w:val="28"/>
          <w:lang w:val="en-US" w:eastAsia="zh-CN" w:bidi="ar-SA"/>
        </w:rPr>
        <w:t>价值塑造：提高包头市体育赛事品牌忠诚度</w:t>
      </w:r>
      <w:bookmarkEnd w:id="39"/>
    </w:p>
    <w:p>
      <w:pPr>
        <w:pageBreakBefore w:val="0"/>
        <w:widowControl w:val="0"/>
        <w:kinsoku/>
        <w:wordWrap/>
        <w:overflowPunct/>
        <w:topLinePunct w:val="0"/>
        <w:autoSpaceDE/>
        <w:autoSpaceDN/>
        <w:bidi w:val="0"/>
        <w:adjustRightInd/>
        <w:snapToGrid/>
        <w:ind w:firstLine="560" w:firstLineChars="200"/>
        <w:textAlignment w:val="auto"/>
        <w:rPr>
          <w:rFonts w:hint="default" w:ascii="Times New Roman" w:hAnsi="Times New Roman" w:cs="Times New Roman"/>
          <w:sz w:val="28"/>
          <w:szCs w:val="28"/>
          <w:lang w:val="en-US" w:eastAsia="zh-CN"/>
        </w:rPr>
      </w:pPr>
      <w:bookmarkStart w:id="40" w:name="_Toc1948661906"/>
      <w:bookmarkStart w:id="41" w:name="_Toc798575124"/>
      <w:r>
        <w:rPr>
          <w:rFonts w:hint="default" w:ascii="Times New Roman" w:hAnsi="Times New Roman" w:cs="Times New Roman"/>
          <w:sz w:val="28"/>
          <w:szCs w:val="28"/>
          <w:lang w:val="en-US" w:eastAsia="zh-CN"/>
        </w:rPr>
        <w:t>赛事忠诚度是指受众对相关赛事品牌的偏爱程度，对某一赛事品牌的依赖、信任程度。在提高包头市体育赛事品牌忠诚度的过程中要不断开发赛事价值，不断对赛事价值进行塑造。首先，充分运用现代科技。赛事品牌的塑造离不开科技的助力与加持，在提升包头市体育赛事品牌忠诚度的过程中科技同样不容忽视，通过科技与智能能够很好的满足参与者的情感体验，赛事体验感提升进一步转化为赛事忠诚度。因此，科技加持是提高包头市体育赛事品牌忠诚度的必要条件</w:t>
      </w:r>
      <w:r>
        <w:rPr>
          <w:rFonts w:hint="eastAsia" w:cs="Times New Roman"/>
          <w:sz w:val="28"/>
          <w:szCs w:val="28"/>
          <w:lang w:val="en-US" w:eastAsia="zh-CN"/>
        </w:rPr>
        <w:t>；</w:t>
      </w:r>
      <w:r>
        <w:rPr>
          <w:rFonts w:hint="default" w:ascii="Times New Roman" w:hAnsi="Times New Roman" w:cs="Times New Roman"/>
          <w:sz w:val="28"/>
          <w:szCs w:val="28"/>
          <w:lang w:val="en-US" w:eastAsia="zh-CN"/>
        </w:rPr>
        <w:t>其次，进行包头市体育赛事品牌塑造要承担相应的社会责任。社会责任一般是企业在发展过程中要承担的，企业在承担社会责任的过程中消费者对企业的好感度提升自然忠诚度也会相应提高。同理，在进行赛事品牌塑造的过程中也要承担相应的社会责任，做到对社会和受众有价值，进而提高受众群体对包头市体育赛事的好感度，使得受众群体对赛事的忠诚度相应提高。</w:t>
      </w:r>
      <w:bookmarkEnd w:id="40"/>
      <w:bookmarkEnd w:id="41"/>
    </w:p>
    <w:p>
      <w:pPr>
        <w:pStyle w:val="4"/>
        <w:pageBreakBefore w:val="0"/>
        <w:widowControl w:val="0"/>
        <w:kinsoku/>
        <w:wordWrap/>
        <w:overflowPunct/>
        <w:topLinePunct w:val="0"/>
        <w:autoSpaceDE/>
        <w:autoSpaceDN/>
        <w:bidi w:val="0"/>
        <w:adjustRightInd/>
        <w:snapToGrid/>
        <w:ind w:firstLine="560" w:firstLineChars="200"/>
        <w:textAlignment w:val="auto"/>
        <w:rPr>
          <w:rFonts w:hint="eastAsia" w:ascii="宋体" w:hAnsi="宋体" w:eastAsia="宋体" w:cs="宋体"/>
          <w:b w:val="0"/>
          <w:bCs w:val="0"/>
          <w:color w:val="auto"/>
          <w:kern w:val="2"/>
          <w:sz w:val="28"/>
          <w:szCs w:val="28"/>
          <w:lang w:val="en-US" w:eastAsia="zh-CN" w:bidi="ar-SA"/>
        </w:rPr>
      </w:pPr>
      <w:bookmarkStart w:id="42" w:name="_Toc2026798965"/>
      <w:r>
        <w:rPr>
          <w:rFonts w:hint="eastAsia" w:ascii="宋体" w:hAnsi="宋体" w:eastAsia="宋体" w:cs="宋体"/>
          <w:b w:val="0"/>
          <w:bCs w:val="0"/>
          <w:color w:val="auto"/>
          <w:kern w:val="2"/>
          <w:sz w:val="28"/>
          <w:szCs w:val="28"/>
          <w:lang w:val="en-US" w:eastAsia="zh-CN" w:bidi="ar-SA"/>
        </w:rPr>
        <w:t>（五）形象维护：增强包头市体育赛事品牌美誉度</w:t>
      </w:r>
      <w:bookmarkEnd w:id="42"/>
    </w:p>
    <w:p>
      <w:pPr>
        <w:keepNext w:val="0"/>
        <w:keepLines w:val="0"/>
        <w:pageBreakBefore w:val="0"/>
        <w:widowControl w:val="0"/>
        <w:kinsoku/>
        <w:wordWrap/>
        <w:overflowPunct/>
        <w:topLinePunct w:val="0"/>
        <w:autoSpaceDE/>
        <w:autoSpaceDN/>
        <w:bidi w:val="0"/>
        <w:adjustRightInd/>
        <w:snapToGrid/>
        <w:ind w:left="0" w:leftChars="0" w:firstLine="560" w:firstLineChars="200"/>
        <w:textAlignment w:val="auto"/>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赛事美誉度是指参与者对赛事价值的认同，对赛事的感知，对赛事质量的认可，以及对赛事参与过程的感受进行的认可，是赛事受众对赛事整体的评价与认同。增强包头市体育赛事品牌美誉度，进行形象维护是关键所在。首先，提高赛事品牌在受众心目中的形象。赛事品牌形象对于一项体育赛事来说十分重要，能够影响参与者的参与热情，以及参与体验</w:t>
      </w:r>
      <w:r>
        <w:rPr>
          <w:rFonts w:hint="eastAsia" w:cs="Times New Roman"/>
          <w:sz w:val="28"/>
          <w:szCs w:val="28"/>
          <w:lang w:val="en-US" w:eastAsia="zh-CN"/>
        </w:rPr>
        <w:t>。</w:t>
      </w:r>
      <w:r>
        <w:rPr>
          <w:rFonts w:hint="default" w:ascii="Times New Roman" w:hAnsi="Times New Roman" w:cs="Times New Roman"/>
          <w:sz w:val="28"/>
          <w:szCs w:val="28"/>
          <w:lang w:val="en-US" w:eastAsia="zh-CN"/>
        </w:rPr>
        <w:t>因此</w:t>
      </w:r>
      <w:r>
        <w:rPr>
          <w:rFonts w:hint="eastAsia" w:cs="Times New Roman"/>
          <w:sz w:val="28"/>
          <w:szCs w:val="28"/>
          <w:lang w:val="en-US" w:eastAsia="zh-CN"/>
        </w:rPr>
        <w:t>，</w:t>
      </w:r>
      <w:r>
        <w:rPr>
          <w:rFonts w:hint="default" w:ascii="Times New Roman" w:hAnsi="Times New Roman" w:cs="Times New Roman"/>
          <w:sz w:val="28"/>
          <w:szCs w:val="28"/>
          <w:lang w:val="en-US" w:eastAsia="zh-CN"/>
        </w:rPr>
        <w:t>要在赛事品牌塑造过程中，做好充分准备增强包头市体育赛事品牌的形象，进一步提高赛事品牌美誉度。其次，维护赛事品牌形象。赛事品牌的形象维护是一个长期的、发展的过程，在赛事开始前了解受众对赛事的期待；赛事进行中对赛事的体验感；赛事结束后对赛事的评价等内容，能够使受众感受到赛事的服务，不断提升受众在整个赛事过程中的主体地位。使得受众对赛事的体验感达到最佳的同时能够对赛事发展提出建设性的建议，使赛事形象能够得到较好的维护，推动赛事的持续发展。</w:t>
      </w:r>
    </w:p>
    <w:p>
      <w:pPr>
        <w:rPr>
          <w:rFonts w:hint="default" w:ascii="Times New Roman" w:hAnsi="Times New Roman" w:cs="Times New Roman"/>
        </w:rPr>
      </w:pP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cs="Times New Roman"/>
          <w:sz w:val="28"/>
          <w:szCs w:val="28"/>
        </w:rPr>
        <w:t>【</w:t>
      </w:r>
      <w:r>
        <w:rPr>
          <w:rFonts w:hint="default" w:ascii="Times New Roman" w:hAnsi="Times New Roman" w:eastAsia="宋体" w:cs="Times New Roman"/>
          <w:b/>
          <w:bCs/>
          <w:sz w:val="28"/>
          <w:szCs w:val="28"/>
          <w:lang w:val="en-US" w:eastAsia="zh-Hans"/>
        </w:rPr>
        <w:t>主要建树及创新</w:t>
      </w:r>
      <w:r>
        <w:rPr>
          <w:rFonts w:hint="default" w:ascii="Times New Roman" w:hAnsi="Times New Roman" w:cs="Times New Roman"/>
          <w:sz w:val="28"/>
          <w:szCs w:val="28"/>
        </w:rPr>
        <w:t>】</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1.主要建树</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本课题构建了一个科学合理的包头市体育赛事品牌塑造评价指标体系，解决单一主观评价体育赛事品牌塑造情况的难题，为推进包头市体育赛事品牌健康发展提供了新思路。</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2.创新之处</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研究方法新。包头市体育赛事品牌塑造与发展路径研究是跨学科、多领域的融合，本课题从品牌塑造视角出发，运用问卷调查法、德尔菲法、层次分析法，模糊综合评价法等方法，实现包头市体育赛事品牌塑造与发展路径的研究。</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技术路线新。本课题遵循层层深入、环环相扣的逻辑思路，按照“赛事品牌塑造现状分析→赛事品牌塑造评价体系构建→赛事品牌塑造评价→建立赛事品牌塑造与发展路径”的技术路线展开研究，与传统经验式、局部式的线性叠加的技术路线相比，更符合包头市体育赛事品牌塑造与发展路径的要求。</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cs="Times New Roman"/>
          <w:sz w:val="28"/>
          <w:szCs w:val="28"/>
        </w:rPr>
        <w:t>【</w:t>
      </w:r>
      <w:r>
        <w:rPr>
          <w:rFonts w:hint="default" w:ascii="Times New Roman" w:hAnsi="Times New Roman" w:eastAsia="宋体" w:cs="Times New Roman"/>
          <w:b/>
          <w:bCs/>
          <w:sz w:val="28"/>
          <w:szCs w:val="28"/>
          <w:lang w:val="en-US" w:eastAsia="zh-Hans"/>
        </w:rPr>
        <w:t>研究价值</w:t>
      </w:r>
      <w:r>
        <w:rPr>
          <w:rFonts w:hint="default" w:ascii="Times New Roman" w:hAnsi="Times New Roman" w:cs="Times New Roman"/>
          <w:sz w:val="28"/>
          <w:szCs w:val="28"/>
        </w:rPr>
        <w:t>】</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1. 学术价值</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在研究思路上，本研究立足品牌塑造理论，坚持深入到包头市体育赛事内部，去探索包头市体育赛事品牌塑造与发展路径。按照赛事品牌塑造现状分析→赛事品牌塑造评价体系构建→赛事品牌塑造评价→建立赛事品牌塑造与发展路径”的技术路线展开研究，这样的研究过程，不仅其研究思路和研究技术路线能为包头市体育赛事乃至自治区的体育赛事的探索提供不可或缺的基础指导，而且其研究结果也必将为包头市体育赛事品牌塑造与发展路径提供新的范式。</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2.应用价值</w:t>
      </w:r>
    </w:p>
    <w:p>
      <w:pPr>
        <w:ind w:firstLine="560" w:firstLineChars="200"/>
        <w:rPr>
          <w:rFonts w:hint="default" w:ascii="Times New Roman" w:hAnsi="Times New Roman" w:eastAsia="宋体" w:cs="Times New Roman"/>
          <w:sz w:val="28"/>
          <w:szCs w:val="28"/>
          <w:lang w:val="en-US" w:eastAsia="zh-Hans"/>
        </w:rPr>
      </w:pPr>
      <w:r>
        <w:rPr>
          <w:rFonts w:hint="default" w:ascii="Times New Roman" w:hAnsi="Times New Roman" w:eastAsia="宋体" w:cs="Times New Roman"/>
          <w:sz w:val="28"/>
          <w:szCs w:val="28"/>
          <w:lang w:val="en-US" w:eastAsia="zh-Hans"/>
        </w:rPr>
        <w:t>本研究结合较为成熟的品牌塑造理论，遵循体育赛事自身发展规律，为包头市体育赛事品牌塑造实践发展提供了切实可行的现实操作路径，这对于正处于蓬勃发展期的包头市体育赛事而言，其应用价值是显而易见的。</w:t>
      </w:r>
    </w:p>
    <w:p>
      <w:pPr>
        <w:ind w:firstLine="560" w:firstLineChars="200"/>
        <w:rPr>
          <w:rFonts w:hint="default" w:ascii="Times New Roman" w:hAnsi="Times New Roman" w:eastAsia="宋体" w:cs="Times New Roman"/>
          <w:sz w:val="28"/>
          <w:szCs w:val="28"/>
          <w:lang w:val="en-US" w:eastAsia="zh-Hans"/>
        </w:rPr>
      </w:pPr>
    </w:p>
    <w:p>
      <w:pPr>
        <w:ind w:firstLine="560" w:firstLineChars="200"/>
        <w:rPr>
          <w:rFonts w:hint="default" w:ascii="Times New Roman" w:hAnsi="Times New Roman" w:eastAsia="宋体" w:cs="Times New Roman"/>
          <w:sz w:val="28"/>
          <w:szCs w:val="28"/>
          <w:lang w:val="en-US" w:eastAsia="zh-Hans"/>
        </w:rPr>
      </w:pPr>
      <w:bookmarkStart w:id="43" w:name="_GoBack"/>
      <w:bookmarkEnd w:id="43"/>
      <w:r>
        <w:rPr>
          <w:rFonts w:hint="default" w:ascii="Times New Roman" w:hAnsi="Times New Roman" w:eastAsia="宋体" w:cs="Times New Roman"/>
          <w:sz w:val="28"/>
          <w:szCs w:val="28"/>
          <w:lang w:val="en-US" w:eastAsia="zh-Hans"/>
        </w:rPr>
        <w:t xml:space="preserve">           </w:t>
      </w:r>
    </w:p>
    <w:p>
      <w:pPr>
        <w:rPr>
          <w:rFonts w:hint="default" w:ascii="Times New Roman" w:hAnsi="Times New Roman" w:cs="Times New Roman"/>
        </w:rPr>
      </w:pPr>
    </w:p>
    <w:p>
      <w:pPr>
        <w:autoSpaceDE w:val="0"/>
        <w:autoSpaceDN w:val="0"/>
        <w:ind w:firstLine="420" w:firstLineChars="200"/>
        <w:jc w:val="left"/>
        <w:rPr>
          <w:rFonts w:hint="default" w:ascii="Times New Roman" w:hAnsi="Times New Roman" w:cs="Times New Roman"/>
          <w:snapToGrid w:val="0"/>
          <w:kern w:val="0"/>
          <w:szCs w:val="21"/>
        </w:rPr>
      </w:pPr>
    </w:p>
    <w:p>
      <w:pPr>
        <w:ind w:firstLine="420" w:firstLineChars="200"/>
        <w:rPr>
          <w:rFonts w:hint="default" w:ascii="Times New Roman" w:hAnsi="Times New Roman" w:cs="Times New Roman"/>
          <w:snapToGrid w:val="0"/>
          <w:szCs w:val="21"/>
        </w:rPr>
      </w:pPr>
      <w:r>
        <w:rPr>
          <w:rFonts w:hint="default" w:ascii="Times New Roman" w:hAnsi="Times New Roman" w:cs="Times New Roman"/>
          <w:snapToGrid w:val="0"/>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24765</wp:posOffset>
                </wp:positionV>
                <wp:extent cx="6036945" cy="0"/>
                <wp:effectExtent l="0" t="19050" r="1905" b="19050"/>
                <wp:wrapNone/>
                <wp:docPr id="7" name="直线 2"/>
                <wp:cNvGraphicFramePr/>
                <a:graphic xmlns:a="http://schemas.openxmlformats.org/drawingml/2006/main">
                  <a:graphicData uri="http://schemas.microsoft.com/office/word/2010/wordprocessingShape">
                    <wps:wsp>
                      <wps:cNvCnPr/>
                      <wps:spPr>
                        <a:xfrm>
                          <a:off x="0" y="0"/>
                          <a:ext cx="5421630" cy="0"/>
                        </a:xfrm>
                        <a:prstGeom prst="line">
                          <a:avLst/>
                        </a:prstGeom>
                        <a:ln w="38100" cap="flat" cmpd="thickThin">
                          <a:solidFill>
                            <a:srgbClr val="FF0000"/>
                          </a:solidFill>
                          <a:prstDash val="solid"/>
                          <a:headEnd type="none" w="med" len="med"/>
                          <a:tailEnd type="none" w="med" len="med"/>
                        </a:ln>
                        <a:effectLst/>
                      </wps:spPr>
                      <wps:bodyPr/>
                    </wps:wsp>
                  </a:graphicData>
                </a:graphic>
              </wp:anchor>
            </w:drawing>
          </mc:Choice>
          <mc:Fallback>
            <w:pict>
              <v:line id="直线 2" o:spid="_x0000_s1026" o:spt="20" style="position:absolute;left:0pt;margin-top:1.95pt;height:0pt;width:475.35pt;mso-position-horizontal:left;mso-position-horizontal-relative:margin;z-index:251660288;mso-width-relative:page;mso-height-relative:page;" filled="f" stroked="t" coordsize="21600,21600" o:gfxdata="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BQE/9MA&#10;AAAEAQAADwAAAAAAAAABACAAAAAiAAAAZHJzL2Rvd25yZXYueG1sUEsBAhQAFAAAAAgAh07iQFZ5&#10;OVPrAQAA5AMAAA4AAAAAAAAAAQAgAAAAIgEAAGRycy9lMm9Eb2MueG1sUEsFBgAAAAAGAAYAWQEA&#10;AH8FAAAAAA==&#10;">
                <v:fill on="f" focussize="0,0"/>
                <v:stroke weight="3pt" color="#FF0000" linestyle="thickThin" joinstyle="round"/>
                <v:imagedata o:title=""/>
                <o:lock v:ext="edit" aspectratio="f"/>
              </v:line>
            </w:pict>
          </mc:Fallback>
        </mc:AlternateContent>
      </w:r>
    </w:p>
    <w:p>
      <w:pPr>
        <w:jc w:val="left"/>
        <w:rPr>
          <w:rFonts w:hint="default" w:ascii="Times New Roman" w:hAnsi="Times New Roman" w:cs="Times New Roman"/>
          <w:snapToGrid w:val="0"/>
        </w:rPr>
      </w:pPr>
      <w:r>
        <w:rPr>
          <w:rFonts w:hint="default" w:ascii="Times New Roman" w:hAnsi="Times New Roman" w:cs="Times New Roman"/>
          <w:snapToGrid w:val="0"/>
        </w:rPr>
        <w:t>撰　稿：</w:t>
      </w:r>
      <w:r>
        <w:rPr>
          <w:rFonts w:hint="default" w:ascii="Times New Roman" w:hAnsi="Times New Roman" w:cs="Times New Roman"/>
          <w:snapToGrid w:val="0"/>
          <w:lang w:val="en-US" w:eastAsia="zh-Hans"/>
        </w:rPr>
        <w:t>郭利军</w:t>
      </w:r>
      <w:r>
        <w:rPr>
          <w:rFonts w:hint="default" w:ascii="Times New Roman" w:hAnsi="Times New Roman" w:cs="Times New Roman"/>
          <w:snapToGrid w:val="0"/>
        </w:rPr>
        <w:t xml:space="preserve"> </w:t>
      </w:r>
      <w:r>
        <w:rPr>
          <w:rFonts w:hint="default" w:ascii="Times New Roman" w:hAnsi="Times New Roman" w:cs="Times New Roman"/>
          <w:snapToGrid w:val="0"/>
          <w:lang w:val="en-US" w:eastAsia="zh-Hans"/>
        </w:rPr>
        <w:t>卢永波</w:t>
      </w:r>
      <w:r>
        <w:rPr>
          <w:rFonts w:hint="default" w:ascii="Times New Roman" w:hAnsi="Times New Roman" w:cs="Times New Roman"/>
          <w:snapToGrid w:val="0"/>
        </w:rPr>
        <w:t xml:space="preserve">        编 辑： 王英姿  　                审 核：任 艳  张长青    </w:t>
      </w:r>
    </w:p>
    <w:p>
      <w:pPr>
        <w:jc w:val="left"/>
        <w:rPr>
          <w:rFonts w:hint="default" w:ascii="Times New Roman" w:hAnsi="Times New Roman" w:cs="Times New Roman"/>
          <w:snapToGrid w:val="0"/>
        </w:rPr>
      </w:pPr>
      <w:r>
        <w:rPr>
          <w:rFonts w:hint="default" w:ascii="Times New Roman" w:hAnsi="Times New Roman" w:cs="Times New Roman"/>
          <w:snapToGrid w:val="0"/>
        </w:rPr>
        <w:t>电 话：  3320076             地 址： 明德楼411室              电子邮箱：</w:t>
      </w:r>
      <w:r>
        <w:rPr>
          <w:rFonts w:hint="default" w:ascii="Times New Roman" w:hAnsi="Times New Roman" w:cs="Times New Roman"/>
          <w:snapToGrid w:val="0"/>
        </w:rPr>
        <w:fldChar w:fldCharType="begin"/>
      </w:r>
      <w:r>
        <w:rPr>
          <w:rFonts w:hint="default" w:ascii="Times New Roman" w:hAnsi="Times New Roman" w:cs="Times New Roman"/>
          <w:snapToGrid w:val="0"/>
        </w:rPr>
        <w:instrText xml:space="preserve"> HYPERLINK "mailto:kycycgg@163.com" </w:instrText>
      </w:r>
      <w:r>
        <w:rPr>
          <w:rFonts w:hint="default" w:ascii="Times New Roman" w:hAnsi="Times New Roman" w:cs="Times New Roman"/>
          <w:snapToGrid w:val="0"/>
        </w:rPr>
        <w:fldChar w:fldCharType="separate"/>
      </w:r>
      <w:r>
        <w:rPr>
          <w:rStyle w:val="19"/>
          <w:rFonts w:hint="default" w:ascii="Times New Roman" w:hAnsi="Times New Roman" w:cs="Times New Roman"/>
          <w:snapToGrid w:val="0"/>
        </w:rPr>
        <w:t>kycycgg@163.com</w:t>
      </w:r>
      <w:r>
        <w:rPr>
          <w:rStyle w:val="19"/>
          <w:rFonts w:hint="default" w:ascii="Times New Roman" w:hAnsi="Times New Roman" w:cs="Times New Roman"/>
          <w:snapToGrid w:val="0"/>
        </w:rPr>
        <w:fldChar w:fldCharType="end"/>
      </w:r>
    </w:p>
    <w:p>
      <w:pPr>
        <w:ind w:firstLine="420" w:firstLineChars="200"/>
        <w:jc w:val="left"/>
        <w:rPr>
          <w:rFonts w:hint="default" w:ascii="Times New Roman" w:hAnsi="Times New Roman" w:eastAsia="仿宋_GB2312" w:cs="Times New Roman"/>
          <w:snapToGrid w:val="0"/>
          <w:sz w:val="32"/>
          <w:szCs w:val="32"/>
        </w:rPr>
      </w:pPr>
      <w:r>
        <w:rPr>
          <w:rFonts w:hint="default" w:ascii="Times New Roman" w:hAnsi="Times New Roman" w:cs="Times New Roman"/>
          <w:snapToGrid w:val="0"/>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140970</wp:posOffset>
                </wp:positionV>
                <wp:extent cx="6036945" cy="9525"/>
                <wp:effectExtent l="0" t="19050" r="1905" b="28575"/>
                <wp:wrapNone/>
                <wp:docPr id="8" name="直线 2"/>
                <wp:cNvGraphicFramePr/>
                <a:graphic xmlns:a="http://schemas.openxmlformats.org/drawingml/2006/main">
                  <a:graphicData uri="http://schemas.microsoft.com/office/word/2010/wordprocessingShape">
                    <wps:wsp>
                      <wps:cNvCnPr/>
                      <wps:spPr>
                        <a:xfrm flipV="1">
                          <a:off x="0" y="0"/>
                          <a:ext cx="5383530" cy="9525"/>
                        </a:xfrm>
                        <a:prstGeom prst="line">
                          <a:avLst/>
                        </a:prstGeom>
                        <a:ln w="38100" cap="flat" cmpd="thickThin">
                          <a:solidFill>
                            <a:srgbClr val="FF0000"/>
                          </a:solidFill>
                          <a:prstDash val="solid"/>
                          <a:headEnd type="none" w="med" len="med"/>
                          <a:tailEnd type="none" w="med" len="med"/>
                        </a:ln>
                        <a:effectLst/>
                      </wps:spPr>
                      <wps:bodyPr/>
                    </wps:wsp>
                  </a:graphicData>
                </a:graphic>
              </wp:anchor>
            </w:drawing>
          </mc:Choice>
          <mc:Fallback>
            <w:pict>
              <v:line id="直线 2" o:spid="_x0000_s1026" o:spt="20" style="position:absolute;left:0pt;flip:y;margin-top:11.1pt;height:0.75pt;width:475.35pt;mso-position-horizontal:left;mso-position-horizontal-relative:margin;z-index:251661312;mso-width-relative:page;mso-height-relative:page;" filled="f" stroked="t" coordsize="21600,21600" o:gfxdata="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gQXSfYAAAABgEAAA8AAAAAAAAAAQAgAAAAIgAAAGRycy9kb3ducmV2LnhtbFBLAQIU&#10;ABQAAAAIAIdO4kBG4mxE8wEAAPEDAAAOAAAAAAAAAAEAIAAAACcBAABkcnMvZTJvRG9jLnhtbFBL&#10;BQYAAAAABgAGAFkBAACMBQAAAAA=&#10;">
                <v:fill on="f" focussize="0,0"/>
                <v:stroke weight="3pt" color="#FF0000" linestyle="thickThin" joinstyle="round"/>
                <v:imagedata o:title=""/>
                <o:lock v:ext="edit" aspectratio="f"/>
              </v:line>
            </w:pict>
          </mc:Fallback>
        </mc:AlternateContent>
      </w:r>
    </w:p>
    <w:sectPr>
      <w:footerReference r:id="rId3" w:type="default"/>
      <w:footerReference r:id="rId4" w:type="even"/>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iti SC Medium">
    <w:altName w:val="宋体"/>
    <w:panose1 w:val="02000000000000000000"/>
    <w:charset w:val="86"/>
    <w:family w:val="auto"/>
    <w:pitch w:val="default"/>
    <w:sig w:usb0="00000000" w:usb1="00000000" w:usb2="00000000" w:usb3="00000000" w:csb0="00160000" w:csb1="00000000"/>
  </w:font>
  <w:font w:name="Cambria">
    <w:panose1 w:val="02040503050406030204"/>
    <w:charset w:val="00"/>
    <w:family w:val="roman"/>
    <w:pitch w:val="default"/>
    <w:sig w:usb0="E00002FF" w:usb1="400004FF" w:usb2="00000000" w:usb3="00000000" w:csb0="2000019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等线">
    <w:panose1 w:val="02010600030101010101"/>
    <w:charset w:val="86"/>
    <w:family w:val="auto"/>
    <w:pitch w:val="default"/>
    <w:sig w:usb0="A00002BF" w:usb1="38CF7CFA" w:usb2="00000016" w:usb3="00000000" w:csb0="0004000F" w:csb1="00000000"/>
  </w:font>
  <w:font w:name="Songti SC">
    <w:altName w:val="宋体"/>
    <w:panose1 w:val="02010600040101010101"/>
    <w:charset w:val="86"/>
    <w:family w:val="auto"/>
    <w:pitch w:val="default"/>
    <w:sig w:usb0="00000000" w:usb1="00000000" w:usb2="00000000" w:usb3="00000000" w:csb0="00160000" w:csb1="00000000"/>
  </w:font>
  <w:font w:name="Times New Roman Regular">
    <w:altName w:val="Times New Roman"/>
    <w:panose1 w:val="02020603050405020304"/>
    <w:charset w:val="00"/>
    <w:family w:val="auto"/>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Cambria Math">
    <w:panose1 w:val="02040503050406030204"/>
    <w:charset w:val="00"/>
    <w:family w:val="auto"/>
    <w:pitch w:val="default"/>
    <w:sig w:usb0="E00002FF" w:usb1="42002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方正舒体">
    <w:panose1 w:val="02010601030101010101"/>
    <w:charset w:val="86"/>
    <w:family w:val="auto"/>
    <w:pitch w:val="default"/>
    <w:sig w:usb0="00000003" w:usb1="080E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FKai-SB">
    <w:panose1 w:val="03000509000000000000"/>
    <w:charset w:val="88"/>
    <w:family w:val="auto"/>
    <w:pitch w:val="default"/>
    <w:sig w:usb0="00000003" w:usb1="082E0000" w:usb2="00000016" w:usb3="00000000" w:csb0="00100001" w:csb1="00000000"/>
  </w:font>
  <w:font w:name="Gulim">
    <w:panose1 w:val="020B0600000101010101"/>
    <w:charset w:val="81"/>
    <w:family w:val="auto"/>
    <w:pitch w:val="default"/>
    <w:sig w:usb0="B00002AF" w:usb1="69D77CFB" w:usb2="00000030" w:usb3="00000000" w:csb0="4008009F" w:csb1="DFD70000"/>
  </w:font>
  <w:font w:name="HP Simplified Hans">
    <w:panose1 w:val="020B0500000000000000"/>
    <w:charset w:val="86"/>
    <w:family w:val="auto"/>
    <w:pitch w:val="default"/>
    <w:sig w:usb0="A00002BF" w:usb1="38CF7CFA" w:usb2="00000016" w:usb3="00000000" w:csb0="2004011D" w:csb1="41000000"/>
  </w:font>
  <w:font w:name="Microsoft JhengHei Light">
    <w:panose1 w:val="020B0304030504040204"/>
    <w:charset w:val="88"/>
    <w:family w:val="auto"/>
    <w:pitch w:val="default"/>
    <w:sig w:usb0="800002A7" w:usb1="28CF4400" w:usb2="00000016" w:usb3="00000000" w:csb0="00100009" w:csb1="00000000"/>
  </w:font>
  <w:font w:name="Microsoft YaHei UI">
    <w:panose1 w:val="020B0503020204020204"/>
    <w:charset w:val="86"/>
    <w:family w:val="auto"/>
    <w:pitch w:val="default"/>
    <w:sig w:usb0="80000287" w:usb1="2ACF3C50" w:usb2="00000016" w:usb3="00000000" w:csb0="0004001F" w:csb1="00000000"/>
  </w:font>
  <w:font w:name="MingLiU">
    <w:panose1 w:val="02020509000000000000"/>
    <w:charset w:val="88"/>
    <w:family w:val="auto"/>
    <w:pitch w:val="default"/>
    <w:sig w:usb0="A00002FF" w:usb1="28CFFCFA" w:usb2="00000016" w:usb3="00000000" w:csb0="00100001" w:csb1="00000000"/>
  </w:font>
  <w:font w:name="MingLiU-ExtB">
    <w:panose1 w:val="02020500000000000000"/>
    <w:charset w:val="88"/>
    <w:family w:val="auto"/>
    <w:pitch w:val="default"/>
    <w:sig w:usb0="8000002F" w:usb1="02000008" w:usb2="00000000" w:usb3="00000000" w:csb0="00100001" w:csb1="00000000"/>
  </w:font>
  <w:font w:name="PMingLiU">
    <w:panose1 w:val="02020500000000000000"/>
    <w:charset w:val="88"/>
    <w:family w:val="auto"/>
    <w:pitch w:val="default"/>
    <w:sig w:usb0="A00002FF" w:usb1="2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Yu Gothic UI Light">
    <w:panose1 w:val="020B0300000000000000"/>
    <w:charset w:val="80"/>
    <w:family w:val="auto"/>
    <w:pitch w:val="default"/>
    <w:sig w:usb0="E00002FF" w:usb1="2AC7FDFF" w:usb2="00000016" w:usb3="00000000" w:csb0="2002009F" w:csb1="00000000"/>
  </w:font>
  <w:font w:name="Aharoni">
    <w:panose1 w:val="02010803020104030203"/>
    <w:charset w:val="00"/>
    <w:family w:val="auto"/>
    <w:pitch w:val="default"/>
    <w:sig w:usb0="00000801" w:usb1="00000000" w:usb2="00000000" w:usb3="00000000" w:csb0="00000020" w:csb1="00200000"/>
  </w:font>
  <w:font w:name="Arial Black">
    <w:panose1 w:val="020B0A04020102020204"/>
    <w:charset w:val="00"/>
    <w:family w:val="auto"/>
    <w:pitch w:val="default"/>
    <w:sig w:usb0="00000287" w:usb1="00000000" w:usb2="00000000" w:usb3="00000000" w:csb0="2000009F" w:csb1="DFD70000"/>
  </w:font>
  <w:font w:name="Bauhaus 93">
    <w:panose1 w:val="04030905020B02020C02"/>
    <w:charset w:val="00"/>
    <w:family w:val="auto"/>
    <w:pitch w:val="default"/>
    <w:sig w:usb0="00000003" w:usb1="00000000" w:usb2="00000000" w:usb3="00000000" w:csb0="20000001" w:csb1="00000000"/>
  </w:font>
  <w:font w:name="Berlin Sans FB Demi">
    <w:panose1 w:val="020E0802020502020306"/>
    <w:charset w:val="00"/>
    <w:family w:val="auto"/>
    <w:pitch w:val="default"/>
    <w:sig w:usb0="00000003" w:usb1="00000000" w:usb2="00000000" w:usb3="00000000" w:csb0="20000001" w:csb1="00000000"/>
  </w:font>
  <w:font w:name="Bodoni MT Condensed">
    <w:panose1 w:val="02070606080606020203"/>
    <w:charset w:val="00"/>
    <w:family w:val="auto"/>
    <w:pitch w:val="default"/>
    <w:sig w:usb0="00000003" w:usb1="00000000" w:usb2="00000000" w:usb3="00000000" w:csb0="20000001" w:csb1="00000000"/>
  </w:font>
  <w:font w:name="Bookman Old Style">
    <w:panose1 w:val="02050604050505020204"/>
    <w:charset w:val="00"/>
    <w:family w:val="auto"/>
    <w:pitch w:val="default"/>
    <w:sig w:usb0="00000287" w:usb1="00000000" w:usb2="00000000" w:usb3="00000000" w:csb0="2000009F" w:csb1="DFD70000"/>
  </w:font>
  <w:font w:name="Broadway">
    <w:panose1 w:val="04040905080B02020502"/>
    <w:charset w:val="00"/>
    <w:family w:val="auto"/>
    <w:pitch w:val="default"/>
    <w:sig w:usb0="00000003" w:usb1="00000000" w:usb2="00000000" w:usb3="00000000" w:csb0="20000001" w:csb1="00000000"/>
  </w:font>
  <w:font w:name="BrowalliaUPC">
    <w:panose1 w:val="020B0604020202020204"/>
    <w:charset w:val="00"/>
    <w:family w:val="auto"/>
    <w:pitch w:val="default"/>
    <w:sig w:usb0="81000003" w:usb1="00000000" w:usb2="00000000" w:usb3="00000000" w:csb0="00010001" w:csb1="00000000"/>
  </w:font>
  <w:font w:name="Calibri Light">
    <w:panose1 w:val="020F0302020204030204"/>
    <w:charset w:val="00"/>
    <w:family w:val="auto"/>
    <w:pitch w:val="default"/>
    <w:sig w:usb0="E4002EFF" w:usb1="C000247B" w:usb2="00000009" w:usb3="00000000" w:csb0="200001FF" w:csb1="00000000"/>
  </w:font>
  <w:font w:name="Calisto MT">
    <w:panose1 w:val="02040603050505030304"/>
    <w:charset w:val="00"/>
    <w:family w:val="auto"/>
    <w:pitch w:val="default"/>
    <w:sig w:usb0="00000003" w:usb1="00000000" w:usb2="00000000" w:usb3="00000000" w:csb0="20000001" w:csb1="00000000"/>
  </w:font>
  <w:font w:name="Candara">
    <w:panose1 w:val="020E0502030303020204"/>
    <w:charset w:val="00"/>
    <w:family w:val="auto"/>
    <w:pitch w:val="default"/>
    <w:sig w:usb0="A00002EF" w:usb1="4000A44B" w:usb2="00000000" w:usb3="00000000" w:csb0="2000019F" w:csb1="00000000"/>
  </w:font>
  <w:font w:name="Century Schoolbook">
    <w:panose1 w:val="02040604050505020304"/>
    <w:charset w:val="00"/>
    <w:family w:val="auto"/>
    <w:pitch w:val="default"/>
    <w:sig w:usb0="00000287" w:usb1="00000000" w:usb2="00000000" w:usb3="00000000" w:csb0="2000009F" w:csb1="DFD70000"/>
  </w:font>
  <w:font w:name="Comic Sans MS">
    <w:panose1 w:val="030F0702030302020204"/>
    <w:charset w:val="00"/>
    <w:family w:val="auto"/>
    <w:pitch w:val="default"/>
    <w:sig w:usb0="00000287" w:usb1="00000000" w:usb2="00000000" w:usb3="00000000" w:csb0="2000009F" w:csb1="00000000"/>
  </w:font>
  <w:font w:name="Consolas">
    <w:panose1 w:val="020B0609020204030204"/>
    <w:charset w:val="00"/>
    <w:family w:val="auto"/>
    <w:pitch w:val="default"/>
    <w:sig w:usb0="E10002FF" w:usb1="4000FCFF" w:usb2="00000009" w:usb3="00000000" w:csb0="6000019F" w:csb1="DFD70000"/>
  </w:font>
  <w:font w:name="Corbel">
    <w:panose1 w:val="020B0503020204020204"/>
    <w:charset w:val="00"/>
    <w:family w:val="auto"/>
    <w:pitch w:val="default"/>
    <w:sig w:usb0="A00002EF" w:usb1="4000A44B" w:usb2="00000000" w:usb3="00000000" w:csb0="2000019F" w:csb1="00000000"/>
  </w:font>
  <w:font w:name="Cordia New">
    <w:panose1 w:val="020B0304020202020204"/>
    <w:charset w:val="00"/>
    <w:family w:val="auto"/>
    <w:pitch w:val="default"/>
    <w:sig w:usb0="81000003" w:usb1="00000000" w:usb2="00000000" w:usb3="00000000" w:csb0="00010001" w:csb1="00000000"/>
  </w:font>
  <w:font w:name="DaunPenh">
    <w:panose1 w:val="01010101010101010101"/>
    <w:charset w:val="00"/>
    <w:family w:val="auto"/>
    <w:pitch w:val="default"/>
    <w:sig w:usb0="00000003" w:usb1="00000000" w:usb2="00010000" w:usb3="00000000" w:csb0="00000001" w:csb1="00000000"/>
  </w:font>
  <w:font w:name="DokChampa">
    <w:panose1 w:val="020B0604020202020204"/>
    <w:charset w:val="00"/>
    <w:family w:val="auto"/>
    <w:pitch w:val="default"/>
    <w:sig w:usb0="03000003" w:usb1="00000000" w:usb2="00000000" w:usb3="00000000" w:csb0="40010001" w:csb1="00000000"/>
  </w:font>
  <w:font w:name="Ebrima">
    <w:panose1 w:val="02000000000000000000"/>
    <w:charset w:val="00"/>
    <w:family w:val="auto"/>
    <w:pitch w:val="default"/>
    <w:sig w:usb0="A000505F" w:usb1="02000041" w:usb2="00000000" w:usb3="00000404" w:csb0="00000093" w:csb1="00000000"/>
  </w:font>
  <w:font w:name="Elephant">
    <w:panose1 w:val="02020904090505020303"/>
    <w:charset w:val="00"/>
    <w:family w:val="auto"/>
    <w:pitch w:val="default"/>
    <w:sig w:usb0="00000003" w:usb1="00000000" w:usb2="00000000" w:usb3="00000000" w:csb0="20000001" w:csb1="00000000"/>
  </w:font>
  <w:font w:name="Eras Bold ITC">
    <w:panose1 w:val="020B0907030504020204"/>
    <w:charset w:val="00"/>
    <w:family w:val="auto"/>
    <w:pitch w:val="default"/>
    <w:sig w:usb0="00000003" w:usb1="00000000" w:usb2="00000000" w:usb3="00000000" w:csb0="20000001" w:csb1="00000000"/>
  </w:font>
  <w:font w:name="Estrangelo Edessa">
    <w:panose1 w:val="03080600000000000000"/>
    <w:charset w:val="00"/>
    <w:family w:val="auto"/>
    <w:pitch w:val="default"/>
    <w:sig w:usb0="80002043" w:usb1="00000000" w:usb2="00000080" w:usb3="00000000" w:csb0="00000001" w:csb1="00000000"/>
  </w:font>
  <w:font w:name="Felix Titling">
    <w:panose1 w:val="04060505060202020A04"/>
    <w:charset w:val="00"/>
    <w:family w:val="auto"/>
    <w:pitch w:val="default"/>
    <w:sig w:usb0="00000003" w:usb1="00000000" w:usb2="00000000" w:usb3="00000000" w:csb0="20000001" w:csb1="00000000"/>
  </w:font>
  <w:font w:name="Franklin Gothic Demi Cond">
    <w:panose1 w:val="020B0706030402020204"/>
    <w:charset w:val="00"/>
    <w:family w:val="auto"/>
    <w:pitch w:val="default"/>
    <w:sig w:usb0="00000287" w:usb1="00000000" w:usb2="00000000" w:usb3="00000000" w:csb0="2000009F" w:csb1="DFD70000"/>
  </w:font>
  <w:font w:name="Franklin Gothic Medium Cond">
    <w:panose1 w:val="020B0606030402020204"/>
    <w:charset w:val="00"/>
    <w:family w:val="auto"/>
    <w:pitch w:val="default"/>
    <w:sig w:usb0="00000287" w:usb1="00000000" w:usb2="00000000" w:usb3="00000000" w:csb0="2000009F" w:csb1="DFD70000"/>
  </w:font>
  <w:font w:name="Gadugi">
    <w:panose1 w:val="020B0502040204020203"/>
    <w:charset w:val="00"/>
    <w:family w:val="auto"/>
    <w:pitch w:val="default"/>
    <w:sig w:usb0="80000003" w:usb1="02000000" w:usb2="00003000" w:usb3="00000000" w:csb0="00000001" w:csb1="00000000"/>
  </w:font>
  <w:font w:name="Gautami">
    <w:panose1 w:val="020B0502040204020203"/>
    <w:charset w:val="00"/>
    <w:family w:val="auto"/>
    <w:pitch w:val="default"/>
    <w:sig w:usb0="00200003" w:usb1="00000000" w:usb2="00000000" w:usb3="00000000" w:csb0="00000001" w:csb1="00000000"/>
  </w:font>
  <w:font w:name="Gill Sans MT Condensed">
    <w:panose1 w:val="020B0506020104020203"/>
    <w:charset w:val="00"/>
    <w:family w:val="auto"/>
    <w:pitch w:val="default"/>
    <w:sig w:usb0="00000003" w:usb1="00000000" w:usb2="00000000" w:usb3="00000000" w:csb0="20000003" w:csb1="00000000"/>
  </w:font>
  <w:font w:name="Gloucester MT Extra Condensed">
    <w:panose1 w:val="02030808020601010101"/>
    <w:charset w:val="00"/>
    <w:family w:val="auto"/>
    <w:pitch w:val="default"/>
    <w:sig w:usb0="00000003" w:usb1="00000000" w:usb2="00000000" w:usb3="00000000" w:csb0="20000001" w:csb1="00000000"/>
  </w:font>
  <w:font w:name="Harrington">
    <w:panose1 w:val="04040505050A02020702"/>
    <w:charset w:val="00"/>
    <w:family w:val="auto"/>
    <w:pitch w:val="default"/>
    <w:sig w:usb0="00000003" w:usb1="00000000" w:usb2="00000000" w:usb3="00000000" w:csb0="20000001" w:csb1="00000000"/>
  </w:font>
  <w:font w:name="Javanese Text">
    <w:panose1 w:val="02000000000000000000"/>
    <w:charset w:val="00"/>
    <w:family w:val="auto"/>
    <w:pitch w:val="default"/>
    <w:sig w:usb0="80000003" w:usb1="00002000" w:usb2="00000000" w:usb3="00000000" w:csb0="00000001" w:csb1="00000000"/>
  </w:font>
  <w:font w:name="Khmer UI">
    <w:panose1 w:val="020B0502040204020203"/>
    <w:charset w:val="00"/>
    <w:family w:val="auto"/>
    <w:pitch w:val="default"/>
    <w:sig w:usb0="8000002F" w:usb1="0000204A" w:usb2="00010000" w:usb3="00000000" w:csb0="00000001" w:csb1="00000000"/>
  </w:font>
  <w:font w:name="KodchiangUPC">
    <w:panose1 w:val="02020603050405020304"/>
    <w:charset w:val="00"/>
    <w:family w:val="auto"/>
    <w:pitch w:val="default"/>
    <w:sig w:usb0="01000007" w:usb1="00000002" w:usb2="00000000" w:usb3="00000000" w:csb0="00010001" w:csb1="00000000"/>
  </w:font>
  <w:font w:name="Latha">
    <w:panose1 w:val="020B0604020202020204"/>
    <w:charset w:val="00"/>
    <w:family w:val="auto"/>
    <w:pitch w:val="default"/>
    <w:sig w:usb0="00100003" w:usb1="00000000" w:usb2="00000000" w:usb3="00000000" w:csb0="00000001" w:csb1="00000000"/>
  </w:font>
  <w:font w:name="Leelawadee UI">
    <w:panose1 w:val="020B0502040204020203"/>
    <w:charset w:val="00"/>
    <w:family w:val="auto"/>
    <w:pitch w:val="default"/>
    <w:sig w:usb0="83000003" w:usb1="00000000" w:usb2="00010000" w:usb3="00000001" w:csb0="00010101" w:csb1="00000000"/>
  </w:font>
  <w:font w:name="Lucida Handwriting">
    <w:panose1 w:val="03010101010101010101"/>
    <w:charset w:val="00"/>
    <w:family w:val="auto"/>
    <w:pitch w:val="default"/>
    <w:sig w:usb0="00000003" w:usb1="00000000" w:usb2="00000000" w:usb3="00000000" w:csb0="20000001" w:csb1="00000000"/>
  </w:font>
  <w:font w:name="Matura MT Script Capitals">
    <w:panose1 w:val="03020802060602070202"/>
    <w:charset w:val="00"/>
    <w:family w:val="auto"/>
    <w:pitch w:val="default"/>
    <w:sig w:usb0="00000003" w:usb1="00000000" w:usb2="00000000" w:usb3="00000000" w:csb0="20000001" w:csb1="00000000"/>
  </w:font>
  <w:font w:name="Microsoft Himalaya">
    <w:panose1 w:val="01010100010101010101"/>
    <w:charset w:val="00"/>
    <w:family w:val="auto"/>
    <w:pitch w:val="default"/>
    <w:sig w:usb0="80000003" w:usb1="00010000" w:usb2="00000040" w:usb3="00000000" w:csb0="00000001" w:csb1="00000000"/>
  </w:font>
  <w:font w:name="Miriam Fixed">
    <w:panose1 w:val="020B0509050101010101"/>
    <w:charset w:val="00"/>
    <w:family w:val="auto"/>
    <w:pitch w:val="default"/>
    <w:sig w:usb0="00000801" w:usb1="00000000" w:usb2="00000000" w:usb3="00000000" w:csb0="00000020" w:csb1="00200000"/>
  </w:font>
  <w:font w:name="Myanmar Text">
    <w:panose1 w:val="020B0502040204020203"/>
    <w:charset w:val="00"/>
    <w:family w:val="auto"/>
    <w:pitch w:val="default"/>
    <w:sig w:usb0="80000003" w:usb1="00000000" w:usb2="00000400" w:usb3="00000000" w:csb0="00000001" w:csb1="00000000"/>
  </w:font>
  <w:font w:name="OCR A Extended">
    <w:panose1 w:val="02010509020102010303"/>
    <w:charset w:val="00"/>
    <w:family w:val="auto"/>
    <w:pitch w:val="default"/>
    <w:sig w:usb0="00000003" w:usb1="00000000" w:usb2="00000000" w:usb3="00000000" w:csb0="20000001" w:csb1="00000000"/>
  </w:font>
  <w:font w:name="Palatino Linotype">
    <w:panose1 w:val="02040502050505030304"/>
    <w:charset w:val="00"/>
    <w:family w:val="auto"/>
    <w:pitch w:val="default"/>
    <w:sig w:usb0="E0000287" w:usb1="40000013" w:usb2="00000000" w:usb3="00000000" w:csb0="2000019F" w:csb1="00000000"/>
  </w:font>
  <w:font w:name="Perpetua">
    <w:panose1 w:val="02020502060401020303"/>
    <w:charset w:val="00"/>
    <w:family w:val="auto"/>
    <w:pitch w:val="default"/>
    <w:sig w:usb0="00000003" w:usb1="00000000" w:usb2="00000000" w:usb3="00000000" w:csb0="20000001" w:csb1="00000000"/>
  </w:font>
  <w:font w:name="Poor Richard">
    <w:panose1 w:val="02080502050505020702"/>
    <w:charset w:val="00"/>
    <w:family w:val="auto"/>
    <w:pitch w:val="default"/>
    <w:sig w:usb0="00000003" w:usb1="00000000" w:usb2="00000000" w:usb3="00000000" w:csb0="20000001" w:csb1="00000000"/>
  </w:font>
  <w:font w:name="Playbill">
    <w:panose1 w:val="040506030A0602020202"/>
    <w:charset w:val="00"/>
    <w:family w:val="auto"/>
    <w:pitch w:val="default"/>
    <w:sig w:usb0="00000003" w:usb1="00000000" w:usb2="00000000" w:usb3="00000000" w:csb0="20000001" w:csb1="00000000"/>
  </w:font>
  <w:font w:name="Raavi">
    <w:panose1 w:val="020B0502040204020203"/>
    <w:charset w:val="00"/>
    <w:family w:val="auto"/>
    <w:pitch w:val="default"/>
    <w:sig w:usb0="00020003"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Segoe UI Black">
    <w:panose1 w:val="020B0A02040204020203"/>
    <w:charset w:val="00"/>
    <w:family w:val="auto"/>
    <w:pitch w:val="default"/>
    <w:sig w:usb0="E00002FF" w:usb1="4000E47F" w:usb2="00000021" w:usb3="00000000" w:csb0="2000019F" w:csb1="00000000"/>
  </w:font>
  <w:font w:name="Segoe UI Semilight">
    <w:panose1 w:val="020B0402040204020203"/>
    <w:charset w:val="00"/>
    <w:family w:val="auto"/>
    <w:pitch w:val="default"/>
    <w:sig w:usb0="E4002EFF" w:usb1="C000E47F" w:usb2="00000009" w:usb3="00000000" w:csb0="200001FF" w:csb1="00000000"/>
  </w:font>
  <w:font w:name="Showcard Gothic">
    <w:panose1 w:val="04020904020102020604"/>
    <w:charset w:val="00"/>
    <w:family w:val="auto"/>
    <w:pitch w:val="default"/>
    <w:sig w:usb0="00000003" w:usb1="00000000" w:usb2="00000000" w:usb3="00000000" w:csb0="20000001" w:csb1="00000000"/>
  </w:font>
  <w:font w:name="Sitka Display">
    <w:panose1 w:val="02000505000000020004"/>
    <w:charset w:val="00"/>
    <w:family w:val="auto"/>
    <w:pitch w:val="default"/>
    <w:sig w:usb0="A00002EF" w:usb1="4000204B" w:usb2="00000000" w:usb3="00000000" w:csb0="2000019F" w:csb1="00000000"/>
  </w:font>
  <w:font w:name="Snap ITC">
    <w:panose1 w:val="04040A07060A02020202"/>
    <w:charset w:val="00"/>
    <w:family w:val="auto"/>
    <w:pitch w:val="default"/>
    <w:sig w:usb0="00000003" w:usb1="00000000" w:usb2="00000000" w:usb3="00000000" w:csb0="20000001" w:csb1="00000000"/>
  </w:font>
  <w:font w:name="Tahoma">
    <w:panose1 w:val="020B0604030504040204"/>
    <w:charset w:val="00"/>
    <w:family w:val="auto"/>
    <w:pitch w:val="default"/>
    <w:sig w:usb0="E1002EFF" w:usb1="C000605B" w:usb2="00000029" w:usb3="00000000" w:csb0="200101FF" w:csb1="20280000"/>
  </w:font>
  <w:font w:name="Tunga">
    <w:panose1 w:val="020B0502040204020203"/>
    <w:charset w:val="00"/>
    <w:family w:val="auto"/>
    <w:pitch w:val="default"/>
    <w:sig w:usb0="00400003" w:usb1="00000000" w:usb2="00000000" w:usb3="00000000" w:csb0="00000001" w:csb1="00000000"/>
  </w:font>
  <w:font w:name="Verdana">
    <w:panose1 w:val="020B0604030504040204"/>
    <w:charset w:val="00"/>
    <w:family w:val="auto"/>
    <w:pitch w:val="default"/>
    <w:sig w:usb0="A10006FF" w:usb1="4000205B" w:usb2="00000010" w:usb3="00000000" w:csb0="2000019F" w:csb1="00000000"/>
  </w:font>
  <w:font w:name="Vivaldi">
    <w:panose1 w:val="03020602050506090804"/>
    <w:charset w:val="00"/>
    <w:family w:val="auto"/>
    <w:pitch w:val="default"/>
    <w:sig w:usb0="00000003" w:usb1="00000000" w:usb2="00000000" w:usb3="00000000" w:csb0="20000001" w:csb1="00000000"/>
  </w:font>
  <w:font w:name="Sitka Text">
    <w:panose1 w:val="02000505000000020004"/>
    <w:charset w:val="00"/>
    <w:family w:val="auto"/>
    <w:pitch w:val="default"/>
    <w:sig w:usb0="A00002EF" w:usb1="4000204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8"/>
        <w:rFonts w:hint="eastAsia"/>
      </w:rPr>
    </w:pPr>
    <w:r>
      <w:rPr>
        <w:rStyle w:val="18"/>
        <w:rFonts w:hint="eastAsia"/>
      </w:rPr>
      <w:t xml:space="preserve">— </w:t>
    </w:r>
    <w:r>
      <w:rPr>
        <w:rStyle w:val="18"/>
      </w:rPr>
      <w:fldChar w:fldCharType="begin"/>
    </w:r>
    <w:r>
      <w:rPr>
        <w:rStyle w:val="18"/>
      </w:rPr>
      <w:instrText xml:space="preserve">PAGE  </w:instrText>
    </w:r>
    <w:r>
      <w:rPr>
        <w:rStyle w:val="18"/>
      </w:rPr>
      <w:fldChar w:fldCharType="separate"/>
    </w:r>
    <w:r>
      <w:rPr>
        <w:rStyle w:val="18"/>
      </w:rPr>
      <w:t>7</w:t>
    </w:r>
    <w:r>
      <w:rPr>
        <w:rStyle w:val="18"/>
      </w:rPr>
      <w:fldChar w:fldCharType="end"/>
    </w:r>
    <w:r>
      <w:rPr>
        <w:rStyle w:val="18"/>
        <w:rFonts w:hint="eastAsia"/>
      </w:rPr>
      <w:t xml:space="preserve"> —</w:t>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226C63"/>
    <w:multiLevelType w:val="singleLevel"/>
    <w:tmpl w:val="6E226C63"/>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kxNmNlNmNhZTNlZmNkMjczZTg0NDhlMTJkOGFjNDkifQ=="/>
  </w:docVars>
  <w:rsids>
    <w:rsidRoot w:val="00924D9F"/>
    <w:rsid w:val="00007BA7"/>
    <w:rsid w:val="00010459"/>
    <w:rsid w:val="00010663"/>
    <w:rsid w:val="00014E9B"/>
    <w:rsid w:val="00025ED0"/>
    <w:rsid w:val="00030248"/>
    <w:rsid w:val="00030BE8"/>
    <w:rsid w:val="00040C11"/>
    <w:rsid w:val="000430B9"/>
    <w:rsid w:val="00065AEC"/>
    <w:rsid w:val="00066A5D"/>
    <w:rsid w:val="00070B35"/>
    <w:rsid w:val="00072DC9"/>
    <w:rsid w:val="000733FB"/>
    <w:rsid w:val="00076A9D"/>
    <w:rsid w:val="00076FF4"/>
    <w:rsid w:val="00083DB7"/>
    <w:rsid w:val="000849E4"/>
    <w:rsid w:val="00085E62"/>
    <w:rsid w:val="000A7233"/>
    <w:rsid w:val="000B022D"/>
    <w:rsid w:val="000C45E8"/>
    <w:rsid w:val="000C46A1"/>
    <w:rsid w:val="000C4DA2"/>
    <w:rsid w:val="000E46B4"/>
    <w:rsid w:val="000E7BCC"/>
    <w:rsid w:val="000F28C0"/>
    <w:rsid w:val="000F68CA"/>
    <w:rsid w:val="00106F06"/>
    <w:rsid w:val="001231CD"/>
    <w:rsid w:val="001263D3"/>
    <w:rsid w:val="00131359"/>
    <w:rsid w:val="00133254"/>
    <w:rsid w:val="00140645"/>
    <w:rsid w:val="0014741E"/>
    <w:rsid w:val="00154382"/>
    <w:rsid w:val="00160C64"/>
    <w:rsid w:val="001632B5"/>
    <w:rsid w:val="00165466"/>
    <w:rsid w:val="00180F66"/>
    <w:rsid w:val="00187B9E"/>
    <w:rsid w:val="00197E55"/>
    <w:rsid w:val="001A5F40"/>
    <w:rsid w:val="001A7A6A"/>
    <w:rsid w:val="001B57EF"/>
    <w:rsid w:val="001D6877"/>
    <w:rsid w:val="001F0091"/>
    <w:rsid w:val="00200280"/>
    <w:rsid w:val="00215FC3"/>
    <w:rsid w:val="00224CDF"/>
    <w:rsid w:val="00232D74"/>
    <w:rsid w:val="0025144F"/>
    <w:rsid w:val="00263756"/>
    <w:rsid w:val="002667A5"/>
    <w:rsid w:val="00271A73"/>
    <w:rsid w:val="00276668"/>
    <w:rsid w:val="00276A56"/>
    <w:rsid w:val="002901D0"/>
    <w:rsid w:val="002B6DF4"/>
    <w:rsid w:val="002B75F0"/>
    <w:rsid w:val="002C1472"/>
    <w:rsid w:val="002C392C"/>
    <w:rsid w:val="002D30B5"/>
    <w:rsid w:val="002D3C07"/>
    <w:rsid w:val="002F5067"/>
    <w:rsid w:val="00317726"/>
    <w:rsid w:val="00324591"/>
    <w:rsid w:val="0032643F"/>
    <w:rsid w:val="0033240B"/>
    <w:rsid w:val="00335B66"/>
    <w:rsid w:val="003369A0"/>
    <w:rsid w:val="00337DA2"/>
    <w:rsid w:val="0037292E"/>
    <w:rsid w:val="00375568"/>
    <w:rsid w:val="00385990"/>
    <w:rsid w:val="00390645"/>
    <w:rsid w:val="003B7AFE"/>
    <w:rsid w:val="003C609D"/>
    <w:rsid w:val="003C6D94"/>
    <w:rsid w:val="003D0330"/>
    <w:rsid w:val="003E18D5"/>
    <w:rsid w:val="003F17DA"/>
    <w:rsid w:val="00400A7C"/>
    <w:rsid w:val="00415A37"/>
    <w:rsid w:val="00417F32"/>
    <w:rsid w:val="0043095D"/>
    <w:rsid w:val="00430B4E"/>
    <w:rsid w:val="00442286"/>
    <w:rsid w:val="004553F8"/>
    <w:rsid w:val="004566F7"/>
    <w:rsid w:val="004675FF"/>
    <w:rsid w:val="00486976"/>
    <w:rsid w:val="004932E4"/>
    <w:rsid w:val="004A3E91"/>
    <w:rsid w:val="004A57B2"/>
    <w:rsid w:val="004A5975"/>
    <w:rsid w:val="004C5E4B"/>
    <w:rsid w:val="004D1218"/>
    <w:rsid w:val="004D44C9"/>
    <w:rsid w:val="004E2689"/>
    <w:rsid w:val="004E392D"/>
    <w:rsid w:val="0050044E"/>
    <w:rsid w:val="0051410F"/>
    <w:rsid w:val="00521943"/>
    <w:rsid w:val="00525B51"/>
    <w:rsid w:val="005314D5"/>
    <w:rsid w:val="0053752A"/>
    <w:rsid w:val="005423C4"/>
    <w:rsid w:val="005468BD"/>
    <w:rsid w:val="00553608"/>
    <w:rsid w:val="00564045"/>
    <w:rsid w:val="00571CBB"/>
    <w:rsid w:val="005759B5"/>
    <w:rsid w:val="0058225B"/>
    <w:rsid w:val="00585A19"/>
    <w:rsid w:val="00587648"/>
    <w:rsid w:val="00587CE0"/>
    <w:rsid w:val="00594872"/>
    <w:rsid w:val="0059554B"/>
    <w:rsid w:val="005A1D8D"/>
    <w:rsid w:val="005A4232"/>
    <w:rsid w:val="005A66A3"/>
    <w:rsid w:val="005A66EB"/>
    <w:rsid w:val="005A6FF1"/>
    <w:rsid w:val="006055D3"/>
    <w:rsid w:val="00611409"/>
    <w:rsid w:val="00617D33"/>
    <w:rsid w:val="00622CC5"/>
    <w:rsid w:val="006309EA"/>
    <w:rsid w:val="006358AA"/>
    <w:rsid w:val="00642E23"/>
    <w:rsid w:val="00647E10"/>
    <w:rsid w:val="006554A7"/>
    <w:rsid w:val="0067609F"/>
    <w:rsid w:val="00680A7E"/>
    <w:rsid w:val="00684771"/>
    <w:rsid w:val="00693AF7"/>
    <w:rsid w:val="006A4660"/>
    <w:rsid w:val="006C57D5"/>
    <w:rsid w:val="006E65CE"/>
    <w:rsid w:val="0073079D"/>
    <w:rsid w:val="0073673F"/>
    <w:rsid w:val="0074129E"/>
    <w:rsid w:val="007538DF"/>
    <w:rsid w:val="00762E4D"/>
    <w:rsid w:val="007775B1"/>
    <w:rsid w:val="0079251C"/>
    <w:rsid w:val="00794EE0"/>
    <w:rsid w:val="00797D88"/>
    <w:rsid w:val="007A5F30"/>
    <w:rsid w:val="007B0344"/>
    <w:rsid w:val="007D08EA"/>
    <w:rsid w:val="007D376B"/>
    <w:rsid w:val="00800A2E"/>
    <w:rsid w:val="00814785"/>
    <w:rsid w:val="008159D5"/>
    <w:rsid w:val="00832E17"/>
    <w:rsid w:val="00835C9E"/>
    <w:rsid w:val="00836754"/>
    <w:rsid w:val="00850B72"/>
    <w:rsid w:val="008625D1"/>
    <w:rsid w:val="008709EB"/>
    <w:rsid w:val="00885680"/>
    <w:rsid w:val="00896F3F"/>
    <w:rsid w:val="008A4F98"/>
    <w:rsid w:val="008A5A32"/>
    <w:rsid w:val="008C2AE7"/>
    <w:rsid w:val="008D2945"/>
    <w:rsid w:val="008E6B65"/>
    <w:rsid w:val="00924D9F"/>
    <w:rsid w:val="00930C50"/>
    <w:rsid w:val="00945A17"/>
    <w:rsid w:val="00947C2D"/>
    <w:rsid w:val="009557F8"/>
    <w:rsid w:val="0096336A"/>
    <w:rsid w:val="00975960"/>
    <w:rsid w:val="009776BD"/>
    <w:rsid w:val="009837BA"/>
    <w:rsid w:val="00985EF4"/>
    <w:rsid w:val="00986451"/>
    <w:rsid w:val="00987AA3"/>
    <w:rsid w:val="00992864"/>
    <w:rsid w:val="009979F2"/>
    <w:rsid w:val="009A17FD"/>
    <w:rsid w:val="009C758B"/>
    <w:rsid w:val="009E4419"/>
    <w:rsid w:val="009F2B32"/>
    <w:rsid w:val="00A00876"/>
    <w:rsid w:val="00A02D40"/>
    <w:rsid w:val="00A17C9E"/>
    <w:rsid w:val="00A31AFA"/>
    <w:rsid w:val="00A3562B"/>
    <w:rsid w:val="00A47209"/>
    <w:rsid w:val="00A55BDA"/>
    <w:rsid w:val="00A82C9B"/>
    <w:rsid w:val="00A973E1"/>
    <w:rsid w:val="00AB2C66"/>
    <w:rsid w:val="00AC24F4"/>
    <w:rsid w:val="00AC5D6E"/>
    <w:rsid w:val="00AD394E"/>
    <w:rsid w:val="00AD3C6A"/>
    <w:rsid w:val="00AD7D7A"/>
    <w:rsid w:val="00AE1302"/>
    <w:rsid w:val="00AE277E"/>
    <w:rsid w:val="00B01447"/>
    <w:rsid w:val="00B113B6"/>
    <w:rsid w:val="00B177A7"/>
    <w:rsid w:val="00B17985"/>
    <w:rsid w:val="00B209E8"/>
    <w:rsid w:val="00B21E54"/>
    <w:rsid w:val="00B23337"/>
    <w:rsid w:val="00B276CB"/>
    <w:rsid w:val="00B41D63"/>
    <w:rsid w:val="00B57B36"/>
    <w:rsid w:val="00B65296"/>
    <w:rsid w:val="00B90730"/>
    <w:rsid w:val="00B94E6E"/>
    <w:rsid w:val="00BC1961"/>
    <w:rsid w:val="00BC4789"/>
    <w:rsid w:val="00BC4F81"/>
    <w:rsid w:val="00BC6E07"/>
    <w:rsid w:val="00BE0781"/>
    <w:rsid w:val="00BE1A64"/>
    <w:rsid w:val="00C059DF"/>
    <w:rsid w:val="00C16C86"/>
    <w:rsid w:val="00C318AA"/>
    <w:rsid w:val="00C334B2"/>
    <w:rsid w:val="00C35F23"/>
    <w:rsid w:val="00C436CA"/>
    <w:rsid w:val="00C55B44"/>
    <w:rsid w:val="00C6493C"/>
    <w:rsid w:val="00C71EA3"/>
    <w:rsid w:val="00C93059"/>
    <w:rsid w:val="00CA29CC"/>
    <w:rsid w:val="00CB1F19"/>
    <w:rsid w:val="00CB3813"/>
    <w:rsid w:val="00CC0040"/>
    <w:rsid w:val="00CC2A56"/>
    <w:rsid w:val="00CD23A9"/>
    <w:rsid w:val="00CE01C6"/>
    <w:rsid w:val="00CE1236"/>
    <w:rsid w:val="00CE36EB"/>
    <w:rsid w:val="00CE4175"/>
    <w:rsid w:val="00CE52C4"/>
    <w:rsid w:val="00CF3149"/>
    <w:rsid w:val="00CF3175"/>
    <w:rsid w:val="00CF7E45"/>
    <w:rsid w:val="00D06B9E"/>
    <w:rsid w:val="00D07E3C"/>
    <w:rsid w:val="00D10D19"/>
    <w:rsid w:val="00D24F55"/>
    <w:rsid w:val="00D25016"/>
    <w:rsid w:val="00D407A8"/>
    <w:rsid w:val="00D450C7"/>
    <w:rsid w:val="00D54F77"/>
    <w:rsid w:val="00D57CC6"/>
    <w:rsid w:val="00D64D68"/>
    <w:rsid w:val="00D76AB8"/>
    <w:rsid w:val="00D8322B"/>
    <w:rsid w:val="00D86FE3"/>
    <w:rsid w:val="00D87DB3"/>
    <w:rsid w:val="00D9068C"/>
    <w:rsid w:val="00D913B9"/>
    <w:rsid w:val="00DA5E7E"/>
    <w:rsid w:val="00DB5437"/>
    <w:rsid w:val="00DB649E"/>
    <w:rsid w:val="00DC24DA"/>
    <w:rsid w:val="00DE0363"/>
    <w:rsid w:val="00DF23DB"/>
    <w:rsid w:val="00E03F9D"/>
    <w:rsid w:val="00E05C11"/>
    <w:rsid w:val="00E15E16"/>
    <w:rsid w:val="00E32008"/>
    <w:rsid w:val="00E511C9"/>
    <w:rsid w:val="00E52ED8"/>
    <w:rsid w:val="00E55263"/>
    <w:rsid w:val="00E610C1"/>
    <w:rsid w:val="00E71A69"/>
    <w:rsid w:val="00E84133"/>
    <w:rsid w:val="00E87198"/>
    <w:rsid w:val="00E9253E"/>
    <w:rsid w:val="00E97656"/>
    <w:rsid w:val="00EA212F"/>
    <w:rsid w:val="00EA3550"/>
    <w:rsid w:val="00EB6D1B"/>
    <w:rsid w:val="00EC1606"/>
    <w:rsid w:val="00EC27FF"/>
    <w:rsid w:val="00ED11E5"/>
    <w:rsid w:val="00EF0971"/>
    <w:rsid w:val="00EF621D"/>
    <w:rsid w:val="00EF71F2"/>
    <w:rsid w:val="00F02A03"/>
    <w:rsid w:val="00F21E1E"/>
    <w:rsid w:val="00F412E3"/>
    <w:rsid w:val="00F51C62"/>
    <w:rsid w:val="00F706CB"/>
    <w:rsid w:val="00F935AA"/>
    <w:rsid w:val="00F95E2F"/>
    <w:rsid w:val="00FA69CC"/>
    <w:rsid w:val="00FC7404"/>
    <w:rsid w:val="00FD7BC7"/>
    <w:rsid w:val="00FE2FA9"/>
    <w:rsid w:val="00FE48D2"/>
    <w:rsid w:val="00FE6405"/>
    <w:rsid w:val="249029DF"/>
    <w:rsid w:val="27B23302"/>
    <w:rsid w:val="2B013C59"/>
    <w:rsid w:val="390D654C"/>
    <w:rsid w:val="3AB6C0E5"/>
    <w:rsid w:val="42291FBB"/>
    <w:rsid w:val="42D00E30"/>
    <w:rsid w:val="4FC868B1"/>
    <w:rsid w:val="52070B14"/>
    <w:rsid w:val="677D3F57"/>
    <w:rsid w:val="68ED31FB"/>
    <w:rsid w:val="6BF85FC7"/>
    <w:rsid w:val="6C6677E4"/>
    <w:rsid w:val="77D77227"/>
    <w:rsid w:val="78A95909"/>
    <w:rsid w:val="7DF54524"/>
    <w:rsid w:val="7F672136"/>
    <w:rsid w:val="BFF75BF2"/>
    <w:rsid w:val="DF370A1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9" w:semiHidden="0" w:name="heading 2"/>
    <w:lsdException w:qFormat="1"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4">
    <w:name w:val="heading 2"/>
    <w:basedOn w:val="1"/>
    <w:next w:val="1"/>
    <w:unhideWhenUsed/>
    <w:qFormat/>
    <w:uiPriority w:val="99"/>
    <w:pPr>
      <w:keepNext/>
      <w:keepLines/>
      <w:widowControl w:val="0"/>
      <w:outlineLvl w:val="1"/>
    </w:pPr>
    <w:rPr>
      <w:rFonts w:eastAsia="Heiti SC Medium" w:asciiTheme="minorAscii" w:hAnsiTheme="minorAscii" w:cstheme="majorBidi"/>
      <w:bCs/>
      <w:szCs w:val="32"/>
    </w:rPr>
  </w:style>
  <w:style w:type="paragraph" w:styleId="5">
    <w:name w:val="heading 3"/>
    <w:basedOn w:val="1"/>
    <w:next w:val="1"/>
    <w:link w:val="32"/>
    <w:unhideWhenUsed/>
    <w:qFormat/>
    <w:uiPriority w:val="9"/>
    <w:pPr>
      <w:keepNext/>
      <w:keepLines/>
      <w:widowControl w:val="0"/>
      <w:outlineLvl w:val="2"/>
    </w:pPr>
    <w:rPr>
      <w:rFonts w:ascii="Times New Roman" w:hAnsi="Times New Roman" w:eastAsiaTheme="minorEastAsia"/>
      <w:bCs/>
      <w:szCs w:val="32"/>
    </w:rPr>
  </w:style>
  <w:style w:type="paragraph" w:styleId="2">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6">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20"/>
    <w:qFormat/>
    <w:uiPriority w:val="99"/>
    <w:pPr>
      <w:tabs>
        <w:tab w:val="center" w:pos="4153"/>
        <w:tab w:val="right" w:pos="8306"/>
      </w:tabs>
      <w:snapToGrid w:val="0"/>
      <w:jc w:val="left"/>
    </w:pPr>
    <w:rPr>
      <w:sz w:val="18"/>
      <w:szCs w:val="18"/>
    </w:rPr>
  </w:style>
  <w:style w:type="paragraph" w:styleId="9">
    <w:name w:val="header"/>
    <w:basedOn w:val="1"/>
    <w:link w:val="21"/>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2"/>
    <w:qFormat/>
    <w:uiPriority w:val="99"/>
    <w:pPr>
      <w:spacing w:line="360" w:lineRule="auto"/>
      <w:ind w:firstLine="200" w:firstLineChars="200"/>
      <w:jc w:val="left"/>
      <w:outlineLvl w:val="1"/>
    </w:pPr>
    <w:rPr>
      <w:rFonts w:ascii="等线 Light" w:hAnsi="等线 Light" w:eastAsia="黑体"/>
      <w:bCs/>
      <w:kern w:val="28"/>
      <w:sz w:val="24"/>
    </w:rPr>
  </w:style>
  <w:style w:type="paragraph" w:styleId="11">
    <w:name w:val="Normal (Web)"/>
    <w:basedOn w:val="1"/>
    <w:unhideWhenUsed/>
    <w:qFormat/>
    <w:uiPriority w:val="99"/>
    <w:pPr>
      <w:spacing w:before="100" w:beforeAutospacing="1" w:after="100" w:afterAutospacing="1"/>
      <w:jc w:val="left"/>
    </w:pPr>
    <w:rPr>
      <w:kern w:val="0"/>
      <w:sz w:val="24"/>
    </w:rPr>
  </w:style>
  <w:style w:type="paragraph" w:styleId="12">
    <w:name w:val="Title"/>
    <w:basedOn w:val="1"/>
    <w:next w:val="1"/>
    <w:link w:val="23"/>
    <w:qFormat/>
    <w:uiPriority w:val="99"/>
    <w:pPr>
      <w:spacing w:before="240" w:after="60"/>
      <w:jc w:val="center"/>
      <w:outlineLvl w:val="0"/>
    </w:pPr>
    <w:rPr>
      <w:rFonts w:ascii="等线 Light" w:hAnsi="等线 Light"/>
      <w:b/>
      <w:bCs/>
      <w:sz w:val="32"/>
      <w:szCs w:val="32"/>
    </w:rPr>
  </w:style>
  <w:style w:type="table" w:styleId="14">
    <w:name w:val="Table Grid"/>
    <w:basedOn w:val="1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5">
    <w:name w:val="Medium Grid 3 Accent 1"/>
    <w:basedOn w:val="13"/>
    <w:qFormat/>
    <w:uiPriority w:val="69"/>
    <w:rPr>
      <w:rFonts w:ascii="Calibri" w:hAnsi="Calibri" w:eastAsia="微软雅黑" w:cs="Times New Roman"/>
      <w:sz w:val="22"/>
      <w:szCs w:val="22"/>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l2br w:val="nil"/>
          <w:tr2bl w:val="nil"/>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l2br w:val="nil"/>
          <w:tr2bl w:val="nil"/>
        </w:tcBorders>
        <w:shd w:val="clear" w:color="auto" w:fill="4F81BD"/>
      </w:tcPr>
    </w:tblStylePr>
    <w:tblStylePr w:type="firstCol">
      <w:rPr>
        <w:b/>
        <w:bCs/>
        <w:i w:val="0"/>
        <w:iCs w:val="0"/>
        <w:color w:val="FFFFFF"/>
      </w:rPr>
      <w:tblPr/>
      <w:tcPr>
        <w:tcBorders>
          <w:top w:val="nil"/>
          <w:left w:val="nil"/>
          <w:bottom w:val="single" w:color="FFFFFF" w:sz="8" w:space="0"/>
          <w:right w:val="single" w:color="FFFFFF" w:sz="24" w:space="0"/>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l2br w:val="nil"/>
          <w:tr2bl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l2br w:val="nil"/>
          <w:tr2bl w:val="nil"/>
        </w:tcBorders>
        <w:shd w:val="clear" w:color="auto" w:fill="A7BFDE"/>
      </w:tcPr>
    </w:tblStylePr>
  </w:style>
  <w:style w:type="character" w:styleId="17">
    <w:name w:val="Strong"/>
    <w:qFormat/>
    <w:uiPriority w:val="0"/>
    <w:rPr>
      <w:b/>
      <w:bCs/>
    </w:rPr>
  </w:style>
  <w:style w:type="character" w:styleId="18">
    <w:name w:val="page number"/>
    <w:basedOn w:val="16"/>
    <w:qFormat/>
    <w:uiPriority w:val="0"/>
  </w:style>
  <w:style w:type="character" w:styleId="19">
    <w:name w:val="Hyperlink"/>
    <w:unhideWhenUsed/>
    <w:qFormat/>
    <w:uiPriority w:val="99"/>
    <w:rPr>
      <w:color w:val="0000FF"/>
      <w:u w:val="single"/>
    </w:rPr>
  </w:style>
  <w:style w:type="character" w:customStyle="1" w:styleId="20">
    <w:name w:val="页脚 Char"/>
    <w:link w:val="8"/>
    <w:qFormat/>
    <w:uiPriority w:val="99"/>
    <w:rPr>
      <w:kern w:val="2"/>
      <w:sz w:val="18"/>
      <w:szCs w:val="18"/>
    </w:rPr>
  </w:style>
  <w:style w:type="character" w:customStyle="1" w:styleId="21">
    <w:name w:val="页眉 Char"/>
    <w:link w:val="9"/>
    <w:qFormat/>
    <w:uiPriority w:val="99"/>
    <w:rPr>
      <w:kern w:val="2"/>
      <w:sz w:val="18"/>
      <w:szCs w:val="18"/>
    </w:rPr>
  </w:style>
  <w:style w:type="character" w:customStyle="1" w:styleId="22">
    <w:name w:val="副标题 Char"/>
    <w:link w:val="10"/>
    <w:qFormat/>
    <w:uiPriority w:val="99"/>
    <w:rPr>
      <w:rFonts w:ascii="等线 Light" w:hAnsi="等线 Light" w:eastAsia="黑体"/>
      <w:bCs/>
      <w:kern w:val="28"/>
      <w:sz w:val="24"/>
      <w:szCs w:val="24"/>
    </w:rPr>
  </w:style>
  <w:style w:type="character" w:customStyle="1" w:styleId="23">
    <w:name w:val="标题 Char"/>
    <w:link w:val="12"/>
    <w:qFormat/>
    <w:uiPriority w:val="99"/>
    <w:rPr>
      <w:rFonts w:ascii="等线 Light" w:hAnsi="等线 Light" w:cs="Times New Roman"/>
      <w:b/>
      <w:bCs/>
      <w:kern w:val="2"/>
      <w:sz w:val="32"/>
      <w:szCs w:val="32"/>
    </w:rPr>
  </w:style>
  <w:style w:type="character" w:customStyle="1" w:styleId="24">
    <w:name w:val="large1"/>
    <w:qFormat/>
    <w:uiPriority w:val="0"/>
    <w:rPr>
      <w:rFonts w:hint="eastAsia" w:ascii="宋体" w:hAnsi="宋体" w:eastAsia="宋体"/>
      <w:sz w:val="22"/>
      <w:szCs w:val="22"/>
    </w:rPr>
  </w:style>
  <w:style w:type="paragraph" w:styleId="25">
    <w:name w:val="List Paragraph"/>
    <w:basedOn w:val="1"/>
    <w:qFormat/>
    <w:uiPriority w:val="0"/>
    <w:pPr>
      <w:ind w:firstLine="420" w:firstLineChars="200"/>
    </w:pPr>
    <w:rPr>
      <w:rFonts w:ascii="Calibri" w:hAnsi="Calibri" w:cs="Calibri"/>
      <w:szCs w:val="21"/>
    </w:rPr>
  </w:style>
  <w:style w:type="paragraph" w:styleId="26">
    <w:name w:val="No Spacing"/>
    <w:link w:val="27"/>
    <w:qFormat/>
    <w:uiPriority w:val="1"/>
    <w:pPr>
      <w:ind w:firstLine="200" w:firstLineChars="200"/>
      <w:jc w:val="both"/>
    </w:pPr>
    <w:rPr>
      <w:rFonts w:ascii="Times New Roman" w:hAnsi="Times New Roman" w:eastAsia="宋体" w:cs="Times New Roman"/>
      <w:sz w:val="24"/>
      <w:szCs w:val="22"/>
      <w:lang w:val="en-US" w:eastAsia="en-US" w:bidi="en-US"/>
    </w:rPr>
  </w:style>
  <w:style w:type="character" w:customStyle="1" w:styleId="27">
    <w:name w:val="无间隔 Char"/>
    <w:link w:val="26"/>
    <w:qFormat/>
    <w:uiPriority w:val="1"/>
    <w:rPr>
      <w:sz w:val="24"/>
      <w:szCs w:val="22"/>
      <w:lang w:val="en-US" w:eastAsia="en-US" w:bidi="en-US"/>
    </w:rPr>
  </w:style>
  <w:style w:type="character" w:customStyle="1" w:styleId="28">
    <w:name w:val="页脚 字符"/>
    <w:qFormat/>
    <w:uiPriority w:val="99"/>
    <w:rPr>
      <w:kern w:val="2"/>
      <w:sz w:val="18"/>
      <w:szCs w:val="18"/>
    </w:rPr>
  </w:style>
  <w:style w:type="character" w:customStyle="1" w:styleId="29">
    <w:name w:val="10"/>
    <w:uiPriority w:val="0"/>
    <w:rPr>
      <w:rFonts w:hint="eastAsia" w:ascii="等线" w:hAnsi="等线" w:eastAsia="等线"/>
    </w:rPr>
  </w:style>
  <w:style w:type="character" w:customStyle="1" w:styleId="30">
    <w:name w:val="15"/>
    <w:uiPriority w:val="0"/>
    <w:rPr>
      <w:rFonts w:hint="eastAsia" w:ascii="等线 Light" w:hAnsi="等线 Light" w:eastAsia="宋体" w:cs="Times New Roman"/>
      <w:bCs/>
      <w:sz w:val="32"/>
      <w:szCs w:val="32"/>
    </w:rPr>
  </w:style>
  <w:style w:type="paragraph" w:customStyle="1" w:styleId="31">
    <w:name w:val="正文11"/>
    <w:qFormat/>
    <w:uiPriority w:val="0"/>
    <w:pPr>
      <w:widowControl w:val="0"/>
      <w:jc w:val="both"/>
    </w:pPr>
    <w:rPr>
      <w:rFonts w:ascii="Calibri" w:hAnsi="Calibri" w:eastAsia="宋体" w:cs="Times New Roman"/>
      <w:kern w:val="2"/>
      <w:sz w:val="21"/>
      <w:szCs w:val="22"/>
      <w:lang w:val="en-US" w:eastAsia="zh-CN" w:bidi="ar-SA"/>
    </w:rPr>
  </w:style>
  <w:style w:type="character" w:customStyle="1" w:styleId="32">
    <w:name w:val="标题 3 Char"/>
    <w:link w:val="5"/>
    <w:qFormat/>
    <w:uiPriority w:val="0"/>
    <w:rPr>
      <w:rFonts w:ascii="Times New Roman" w:hAnsi="Times New Roman" w:eastAsiaTheme="minorEastAsia"/>
      <w:bCs/>
      <w:szCs w:val="32"/>
    </w:rPr>
  </w:style>
  <w:style w:type="paragraph" w:customStyle="1" w:styleId="33">
    <w:name w:val="图片"/>
    <w:basedOn w:val="1"/>
    <w:qFormat/>
    <w:uiPriority w:val="0"/>
    <w:pPr>
      <w:spacing w:after="100" w:afterLines="100"/>
      <w:ind w:firstLine="0" w:firstLineChars="0"/>
      <w:jc w:val="center"/>
    </w:pPr>
    <w:rPr>
      <w:rFonts w:eastAsia="Songti SC" w:cs="Times New Roman Regular"/>
      <w:lang w:eastAsia="zh-Hans"/>
    </w:rPr>
  </w:style>
  <w:style w:type="paragraph" w:customStyle="1" w:styleId="34">
    <w:name w:val="列表段落1"/>
    <w:basedOn w:val="1"/>
    <w:qFormat/>
    <w:uiPriority w:val="34"/>
    <w:pPr>
      <w:widowControl w:val="0"/>
      <w:ind w:firstLine="420"/>
    </w:pPr>
    <w:rPr>
      <w:rFonts w:cstheme="minorBidi"/>
      <w:szCs w:val="22"/>
    </w:rPr>
  </w:style>
  <w:style w:type="character" w:customStyle="1" w:styleId="35">
    <w:name w:val="font01"/>
    <w:basedOn w:val="16"/>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2.xml"/><Relationship Id="rId7" Type="http://schemas.openxmlformats.org/officeDocument/2006/relationships/image" Target="media/image1.jpeg"/><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了解情况</c:v>
                </c:pt>
              </c:strCache>
            </c:strRef>
          </c:tx>
          <c:spPr/>
          <c:explosion val="0"/>
          <c:dPt>
            <c:idx val="0"/>
            <c:bubble3D val="0"/>
            <c:spPr>
              <a:solidFill>
                <a:srgbClr val="4F81BD"/>
              </a:solidFill>
              <a:ln>
                <a:noFill/>
              </a:ln>
              <a:effectLst>
                <a:outerShdw blurRad="63500" sx="102000" sy="102000" algn="ctr" rotWithShape="0">
                  <a:prstClr val="black">
                    <a:alpha val="20000"/>
                  </a:prstClr>
                </a:outerShdw>
              </a:effectLst>
            </c:spPr>
          </c:dPt>
          <c:dPt>
            <c:idx val="1"/>
            <c:bubble3D val="0"/>
            <c:spPr>
              <a:solidFill>
                <a:srgbClr val="C0504D"/>
              </a:solidFill>
              <a:ln>
                <a:noFill/>
              </a:ln>
              <a:effectLst>
                <a:outerShdw blurRad="63500" sx="102000" sy="102000" algn="ctr" rotWithShape="0">
                  <a:prstClr val="black">
                    <a:alpha val="20000"/>
                  </a:prstClr>
                </a:outerShdw>
              </a:effectLst>
            </c:spPr>
          </c:dPt>
          <c:dPt>
            <c:idx val="2"/>
            <c:bubble3D val="0"/>
            <c:spPr>
              <a:solidFill>
                <a:srgbClr val="9BBB59"/>
              </a:solidFill>
              <a:ln>
                <a:noFill/>
              </a:ln>
              <a:effectLst>
                <a:outerShdw blurRad="63500" sx="102000" sy="102000" algn="ctr" rotWithShape="0">
                  <a:prstClr val="black">
                    <a:alpha val="20000"/>
                  </a:prstClr>
                </a:outerShdw>
              </a:effectLst>
            </c:spPr>
          </c:dPt>
          <c:dPt>
            <c:idx val="3"/>
            <c:bubble3D val="0"/>
            <c:spPr>
              <a:solidFill>
                <a:srgbClr val="8064A2"/>
              </a:solidFill>
              <a:ln>
                <a:noFill/>
              </a:ln>
              <a:effectLst>
                <a:outerShdw blurRad="63500" sx="102000" sy="102000" algn="ctr" rotWithShape="0">
                  <a:prstClr val="black">
                    <a:alpha val="20000"/>
                  </a:prstClr>
                </a:outerShdw>
              </a:effectLst>
            </c:spPr>
          </c:dPt>
          <c:dLbls>
            <c:dLbl>
              <c:idx val="0"/>
              <c:layout>
                <c:manualLayout>
                  <c:x val="0.0629321042368374"/>
                  <c:y val="0.0967292971468337"/>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26555575252615"/>
                  <c:y val="-0.0386221294363257"/>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C0504D"/>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0414820067363943"/>
                  <c:y val="0.0539318023660404"/>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9BBB59"/>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088636766530757"/>
                  <c:y val="0.011830201809325"/>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8064A2"/>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50664775748981"/>
                      <c:h val="0.187891440501044"/>
                    </c:manualLayout>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Sheet1!$A$2:$A$5</c:f>
              <c:strCache>
                <c:ptCount val="4"/>
                <c:pt idx="0">
                  <c:v>非常了解</c:v>
                </c:pt>
                <c:pt idx="1">
                  <c:v>基本了解</c:v>
                </c:pt>
                <c:pt idx="2">
                  <c:v>一般</c:v>
                </c:pt>
                <c:pt idx="3">
                  <c:v>不了解</c:v>
                </c:pt>
              </c:strCache>
            </c:strRef>
          </c:cat>
          <c:val>
            <c:numRef>
              <c:f>Sheet1!$B$2:$B$5</c:f>
              <c:numCache>
                <c:formatCode>0.00%</c:formatCode>
                <c:ptCount val="4"/>
                <c:pt idx="0">
                  <c:v>0.273</c:v>
                </c:pt>
                <c:pt idx="1">
                  <c:v>0.435</c:v>
                </c:pt>
                <c:pt idx="2">
                  <c:v>0.164</c:v>
                </c:pt>
                <c:pt idx="3">
                  <c:v>0.128</c:v>
                </c:pt>
              </c:numCache>
            </c:numRef>
          </c:val>
        </c:ser>
        <c:ser>
          <c:idx val="1"/>
          <c:order val="1"/>
          <c:tx>
            <c:strRef>
              <c:f>Sheet1!$C$1</c:f>
              <c:strCache>
                <c:ptCount val="1"/>
                <c:pt idx="0">
                  <c:v/>
                </c:pt>
              </c:strCache>
            </c:strRef>
          </c:tx>
          <c:spPr/>
          <c:explosion val="0"/>
          <c:dPt>
            <c:idx val="0"/>
            <c:bubble3D val="0"/>
            <c:spPr>
              <a:solidFill>
                <a:srgbClr val="4F81BD"/>
              </a:solidFill>
              <a:ln>
                <a:noFill/>
              </a:ln>
              <a:effectLst>
                <a:outerShdw blurRad="63500" sx="102000" sy="102000" algn="ctr" rotWithShape="0">
                  <a:prstClr val="black">
                    <a:alpha val="20000"/>
                  </a:prstClr>
                </a:outerShdw>
              </a:effectLst>
            </c:spPr>
          </c:dPt>
          <c:dPt>
            <c:idx val="1"/>
            <c:bubble3D val="0"/>
            <c:spPr>
              <a:solidFill>
                <a:srgbClr val="C0504D"/>
              </a:solidFill>
              <a:ln>
                <a:noFill/>
              </a:ln>
              <a:effectLst>
                <a:outerShdw blurRad="63500" sx="102000" sy="102000" algn="ctr" rotWithShape="0">
                  <a:prstClr val="black">
                    <a:alpha val="20000"/>
                  </a:prstClr>
                </a:outerShdw>
              </a:effectLst>
            </c:spPr>
          </c:dPt>
          <c:dPt>
            <c:idx val="2"/>
            <c:bubble3D val="0"/>
            <c:spPr>
              <a:solidFill>
                <a:srgbClr val="9BBB59"/>
              </a:solidFill>
              <a:ln>
                <a:noFill/>
              </a:ln>
              <a:effectLst>
                <a:outerShdw blurRad="63500" sx="102000" sy="102000" algn="ctr" rotWithShape="0">
                  <a:prstClr val="black">
                    <a:alpha val="20000"/>
                  </a:prstClr>
                </a:outerShdw>
              </a:effectLst>
            </c:spPr>
          </c:dPt>
          <c:dPt>
            <c:idx val="3"/>
            <c:bubble3D val="0"/>
            <c:spPr>
              <a:solidFill>
                <a:srgbClr val="8064A2"/>
              </a:solidFill>
              <a:ln>
                <a:noFill/>
              </a:ln>
              <a:effectLst>
                <a:outerShdw blurRad="63500" sx="102000" sy="102000" algn="ctr" rotWithShape="0">
                  <a:prstClr val="black">
                    <a:alpha val="20000"/>
                  </a:prstClr>
                </a:outerShdw>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C0504D"/>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9BBB59"/>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8064A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C0504D"/>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Sheet1!$A$2:$A$5</c:f>
              <c:strCache>
                <c:ptCount val="4"/>
                <c:pt idx="0">
                  <c:v>非常了解</c:v>
                </c:pt>
                <c:pt idx="1">
                  <c:v>基本了解</c:v>
                </c:pt>
                <c:pt idx="2">
                  <c:v>一般</c:v>
                </c:pt>
                <c:pt idx="3">
                  <c:v>不了解</c:v>
                </c:pt>
              </c:strCache>
            </c:strRef>
          </c:cat>
          <c:val>
            <c:numRef>
              <c:f>Sheet1!$C$2:$C$5</c:f>
              <c:numCache>
                <c:formatCode>General</c:formatCode>
                <c:ptCount val="4"/>
              </c:numCache>
            </c:numRef>
          </c:val>
        </c:ser>
        <c:ser>
          <c:idx val="2"/>
          <c:order val="2"/>
          <c:tx>
            <c:strRef>
              <c:f>Sheet1!$D$1</c:f>
              <c:strCache>
                <c:ptCount val="1"/>
                <c:pt idx="0">
                  <c:v/>
                </c:pt>
              </c:strCache>
            </c:strRef>
          </c:tx>
          <c:spPr/>
          <c:explosion val="0"/>
          <c:dPt>
            <c:idx val="0"/>
            <c:bubble3D val="0"/>
            <c:spPr>
              <a:solidFill>
                <a:srgbClr val="4F81BD"/>
              </a:solidFill>
              <a:ln>
                <a:noFill/>
              </a:ln>
              <a:effectLst>
                <a:outerShdw blurRad="63500" sx="102000" sy="102000" algn="ctr" rotWithShape="0">
                  <a:prstClr val="black">
                    <a:alpha val="20000"/>
                  </a:prstClr>
                </a:outerShdw>
              </a:effectLst>
            </c:spPr>
          </c:dPt>
          <c:dPt>
            <c:idx val="1"/>
            <c:bubble3D val="0"/>
            <c:spPr>
              <a:solidFill>
                <a:srgbClr val="C0504D"/>
              </a:solidFill>
              <a:ln>
                <a:noFill/>
              </a:ln>
              <a:effectLst>
                <a:outerShdw blurRad="63500" sx="102000" sy="102000" algn="ctr" rotWithShape="0">
                  <a:prstClr val="black">
                    <a:alpha val="20000"/>
                  </a:prstClr>
                </a:outerShdw>
              </a:effectLst>
            </c:spPr>
          </c:dPt>
          <c:dPt>
            <c:idx val="2"/>
            <c:bubble3D val="0"/>
            <c:spPr>
              <a:solidFill>
                <a:srgbClr val="9BBB59"/>
              </a:solidFill>
              <a:ln>
                <a:noFill/>
              </a:ln>
              <a:effectLst>
                <a:outerShdw blurRad="63500" sx="102000" sy="102000" algn="ctr" rotWithShape="0">
                  <a:prstClr val="black">
                    <a:alpha val="20000"/>
                  </a:prstClr>
                </a:outerShdw>
              </a:effectLst>
            </c:spPr>
          </c:dPt>
          <c:dPt>
            <c:idx val="3"/>
            <c:bubble3D val="0"/>
            <c:spPr>
              <a:solidFill>
                <a:srgbClr val="8064A2"/>
              </a:solidFill>
              <a:ln>
                <a:noFill/>
              </a:ln>
              <a:effectLst>
                <a:outerShdw blurRad="63500" sx="102000" sy="102000" algn="ctr" rotWithShape="0">
                  <a:prstClr val="black">
                    <a:alpha val="20000"/>
                  </a:prstClr>
                </a:outerShdw>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1"/>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C0504D"/>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2"/>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9BBB59"/>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8064A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9BBB59"/>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Sheet1!$A$2:$A$5</c:f>
              <c:strCache>
                <c:ptCount val="4"/>
                <c:pt idx="0">
                  <c:v>非常了解</c:v>
                </c:pt>
                <c:pt idx="1">
                  <c:v>基本了解</c:v>
                </c:pt>
                <c:pt idx="2">
                  <c:v>一般</c:v>
                </c:pt>
                <c:pt idx="3">
                  <c:v>不了解</c:v>
                </c:pt>
              </c:strCache>
            </c:strRef>
          </c:cat>
          <c:val>
            <c:numRef>
              <c:f>Sheet1!$D$2:$D$5</c:f>
              <c:numCache>
                <c:formatCode>General</c:formatCode>
                <c:ptCount val="4"/>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了解情况</c:v>
                </c:pt>
              </c:strCache>
            </c:strRef>
          </c:tx>
          <c:spPr/>
          <c:explosion val="0"/>
          <c:dPt>
            <c:idx val="0"/>
            <c:bubble3D val="0"/>
            <c:spPr>
              <a:solidFill>
                <a:srgbClr val="4F81BD"/>
              </a:solidFill>
              <a:ln>
                <a:noFill/>
              </a:ln>
              <a:effectLst>
                <a:outerShdw blurRad="63500" sx="102000" sy="102000" algn="ctr" rotWithShape="0">
                  <a:prstClr val="black">
                    <a:alpha val="20000"/>
                  </a:prstClr>
                </a:outerShdw>
              </a:effectLst>
            </c:spPr>
          </c:dPt>
          <c:dPt>
            <c:idx val="1"/>
            <c:bubble3D val="0"/>
            <c:spPr>
              <a:solidFill>
                <a:srgbClr val="C0504D"/>
              </a:solidFill>
              <a:ln>
                <a:noFill/>
              </a:ln>
              <a:effectLst>
                <a:outerShdw blurRad="63500" sx="102000" sy="102000" algn="ctr" rotWithShape="0">
                  <a:prstClr val="black">
                    <a:alpha val="20000"/>
                  </a:prstClr>
                </a:outerShdw>
              </a:effectLst>
            </c:spPr>
          </c:dPt>
          <c:dPt>
            <c:idx val="2"/>
            <c:bubble3D val="0"/>
            <c:spPr>
              <a:solidFill>
                <a:srgbClr val="9BBB59"/>
              </a:solidFill>
              <a:ln>
                <a:noFill/>
              </a:ln>
              <a:effectLst>
                <a:outerShdw blurRad="63500" sx="102000" sy="102000" algn="ctr" rotWithShape="0">
                  <a:prstClr val="black">
                    <a:alpha val="20000"/>
                  </a:prstClr>
                </a:outerShdw>
              </a:effectLst>
            </c:spPr>
          </c:dPt>
          <c:dPt>
            <c:idx val="3"/>
            <c:bubble3D val="0"/>
            <c:spPr>
              <a:solidFill>
                <a:srgbClr val="8064A2"/>
              </a:solidFill>
              <a:ln>
                <a:noFill/>
              </a:ln>
              <a:effectLst>
                <a:outerShdw blurRad="63500" sx="102000" sy="102000" algn="ctr" rotWithShape="0">
                  <a:prstClr val="black">
                    <a:alpha val="20000"/>
                  </a:prstClr>
                </a:outerShdw>
              </a:effectLst>
            </c:spPr>
          </c:dPt>
          <c:dLbls>
            <c:dLbl>
              <c:idx val="0"/>
              <c:layout>
                <c:manualLayout>
                  <c:x val="0.139546351084813"/>
                  <c:y val="0"/>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0114580329628706"/>
                  <c:y val="0.105566870332654"/>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C0504D"/>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38165680473373"/>
                  <c:y val="-0.0227427019687712"/>
                </c:manualLayout>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9BBB59"/>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3"/>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8064A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Sheet1!$A$2:$A$5</c:f>
              <c:strCache>
                <c:ptCount val="4"/>
                <c:pt idx="0">
                  <c:v>非常了解</c:v>
                </c:pt>
                <c:pt idx="1">
                  <c:v>基本了解</c:v>
                </c:pt>
                <c:pt idx="2">
                  <c:v>一般</c:v>
                </c:pt>
                <c:pt idx="3">
                  <c:v>不了解</c:v>
                </c:pt>
              </c:strCache>
            </c:strRef>
          </c:cat>
          <c:val>
            <c:numRef>
              <c:f>Sheet1!$B$2:$B$5</c:f>
              <c:numCache>
                <c:formatCode>0.00%</c:formatCode>
                <c:ptCount val="4"/>
                <c:pt idx="0">
                  <c:v>0.078</c:v>
                </c:pt>
                <c:pt idx="1">
                  <c:v>0.287</c:v>
                </c:pt>
                <c:pt idx="2">
                  <c:v>0.304</c:v>
                </c:pt>
                <c:pt idx="3">
                  <c:v>0.331</c:v>
                </c:pt>
              </c:numCache>
            </c:numRef>
          </c:val>
        </c:ser>
        <c:ser>
          <c:idx val="1"/>
          <c:order val="1"/>
          <c:tx>
            <c:strRef>
              <c:f>Sheet1!#REF!</c:f>
              <c:strCache>
                <c:ptCount val="1"/>
                <c:pt idx="0">
                  <c:v/>
                </c:pt>
              </c:strCache>
            </c:strRef>
          </c:tx>
          <c:spPr/>
          <c:explosion val="0"/>
          <c:dPt>
            <c:idx val="0"/>
            <c:bubble3D val="0"/>
            <c:spPr>
              <a:solidFill>
                <a:srgbClr val="4F81BD"/>
              </a:solidFill>
              <a:ln>
                <a:noFill/>
              </a:ln>
              <a:effectLst>
                <a:outerShdw blurRad="63500" sx="102000" sy="102000" algn="ctr" rotWithShape="0">
                  <a:prstClr val="black">
                    <a:alpha val="20000"/>
                  </a:prstClr>
                </a:outerShdw>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C0504D"/>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Sheet1!$A$2:$A$5</c:f>
              <c:strCache>
                <c:ptCount val="4"/>
                <c:pt idx="0">
                  <c:v>非常了解</c:v>
                </c:pt>
                <c:pt idx="1">
                  <c:v>基本了解</c:v>
                </c:pt>
                <c:pt idx="2">
                  <c:v>一般</c:v>
                </c:pt>
                <c:pt idx="3">
                  <c:v>不了解</c:v>
                </c:pt>
              </c:strCache>
            </c:strRef>
          </c:cat>
          <c:val>
            <c:numRef>
              <c:f>Sheet1!#REF!</c:f>
              <c:numCache>
                <c:formatCode>General</c:formatCode>
                <c:ptCount val="1"/>
                <c:pt idx="0">
                  <c:v>1</c:v>
                </c:pt>
              </c:numCache>
            </c:numRef>
          </c:val>
        </c:ser>
        <c:ser>
          <c:idx val="2"/>
          <c:order val="2"/>
          <c:tx>
            <c:strRef>
              <c:f>Sheet1!#REF!</c:f>
              <c:strCache>
                <c:ptCount val="1"/>
                <c:pt idx="0">
                  <c:v/>
                </c:pt>
              </c:strCache>
            </c:strRef>
          </c:tx>
          <c:spPr/>
          <c:explosion val="0"/>
          <c:dPt>
            <c:idx val="0"/>
            <c:bubble3D val="0"/>
            <c:spPr>
              <a:solidFill>
                <a:srgbClr val="4F81BD"/>
              </a:solidFill>
              <a:ln>
                <a:noFill/>
              </a:ln>
              <a:effectLst>
                <a:outerShdw blurRad="63500" sx="102000" sy="102000" algn="ctr" rotWithShape="0">
                  <a:prstClr val="black">
                    <a:alpha val="20000"/>
                  </a:prstClr>
                </a:outerShdw>
              </a:effectLst>
            </c:spPr>
          </c:dPt>
          <c:dLbls>
            <c:dLbl>
              <c:idx val="0"/>
              <c:layout/>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4F81BD"/>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extLst>
            </c:dLbl>
            <c:numFmt formatCode="General" sourceLinked="1"/>
            <c:spPr>
              <a:noFill/>
              <a:ln>
                <a:noFill/>
              </a:ln>
              <a:effectLst/>
            </c:spPr>
            <c:txPr>
              <a:bodyPr rot="0" spcFirstLastPara="0" vertOverflow="ellipsis" vert="horz" wrap="square" lIns="38100" tIns="19050" rIns="38100" bIns="19050" anchor="ctr" anchorCtr="1"/>
              <a:lstStyle/>
              <a:p>
                <a:pPr>
                  <a:defRPr lang="zh-CN" sz="1000" b="1" i="0" u="none" strike="noStrike" kern="1200" spc="0" baseline="0">
                    <a:solidFill>
                      <a:srgbClr val="9BBB59"/>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round/>
                    </a:ln>
                    <a:effectLst/>
                  </c:spPr>
                </c15:leaderLines>
              </c:ext>
            </c:extLst>
          </c:dLbls>
          <c:cat>
            <c:strRef>
              <c:f>Sheet1!$A$2:$A$5</c:f>
              <c:strCache>
                <c:ptCount val="4"/>
                <c:pt idx="0">
                  <c:v>非常了解</c:v>
                </c:pt>
                <c:pt idx="1">
                  <c:v>基本了解</c:v>
                </c:pt>
                <c:pt idx="2">
                  <c:v>一般</c:v>
                </c:pt>
                <c:pt idx="3">
                  <c:v>不了解</c:v>
                </c:pt>
              </c:strCache>
            </c:strRef>
          </c:cat>
          <c:val>
            <c:numRef>
              <c:f>Sheet1!#REF!</c:f>
              <c:numCache>
                <c:formatCode>General</c:formatCode>
                <c:ptCount val="1"/>
                <c:pt idx="0">
                  <c:v>1</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rgbClr val="FFFFFF"/>
    </a:solidFill>
    <a:ln w="9525" cap="flat" cmpd="sng" algn="ctr">
      <a:solidFill>
        <a:srgbClr val="D9D9D9">
          <a:lumMod val="15000"/>
          <a:lumOff val="85000"/>
        </a:srgb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rgbClr val="4F81BD"/>
  <a:srgbClr val="C0504D"/>
  <a:srgbClr val="9BBB59"/>
  <a:srgbClr val="8064A2"/>
  <a:srgbClr val="4BACC6"/>
  <a:srgbClr val="F7964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rgbClr val="595959">
        <a:lumMod val="65000"/>
        <a:lumOff val="35000"/>
      </a:srgbClr>
    </cs:fontRef>
    <cs:defRPr sz="900" kern="1200" cap="all"/>
  </cs:axisTitle>
  <cs:categoryAxis>
    <cs:lnRef idx="0"/>
    <cs:fillRef idx="0"/>
    <cs:effectRef idx="0"/>
    <cs:fontRef idx="minor">
      <a:srgbClr val="595959">
        <a:lumMod val="65000"/>
        <a:lumOff val="35000"/>
      </a:srgbClr>
    </cs:fontRef>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rgbClr val="FFFFFF"/>
      </a:solidFill>
      <a:ln>
        <a:solidFill>
          <a:srgbClr val="FFFFFF"/>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rgbClr val="000000"/>
    </cs:fontRef>
    <cs:spPr>
      <a:solidFill>
        <a:srgbClr val="FFFFFF"/>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rgbClr val="000000"/>
    </cs:fontRef>
    <cs:spPr>
      <a:solidFill>
        <a:srgbClr val="FFFFFF"/>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rgbClr val="000000"/>
    </cs:fontRef>
    <cs:spPr>
      <a:ln w="28575" cap="rnd">
        <a:solidFill>
          <a:srgbClr val="FFFFFF"/>
        </a:solidFill>
        <a:round/>
      </a:ln>
    </cs:spPr>
  </cs:dataPointLine>
  <cs:dataPointMarker>
    <cs:lnRef idx="0"/>
    <cs:fillRef idx="0">
      <cs:styleClr val="auto"/>
    </cs:fillRef>
    <cs:effectRef idx="0"/>
    <cs:fontRef idx="minor">
      <a:srgbClr val="000000"/>
    </cs:fontRef>
    <cs:spPr>
      <a:solidFill>
        <a:srgbClr val="FFFFFF"/>
      </a:solidFill>
      <a:ln w="9525">
        <a:solidFill>
          <a:srgbClr val="FFFFFF"/>
        </a:solidFill>
      </a:ln>
    </cs:spPr>
  </cs:dataPointMarker>
  <cs:dataPointMarkerLayout symbol="circle" size="6"/>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D9D9D9">
            <a:lumMod val="15000"/>
            <a:lumOff val="850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595959">
        <a:lumMod val="65000"/>
        <a:lumOff val="35000"/>
      </a:srgbClr>
    </cs:fontRef>
    <cs:defRPr sz="1600" b="1" kern="1200" cap="all" baseline="0"/>
  </cs:title>
  <cs:trendline>
    <cs:lnRef idx="0">
      <cs:styleClr val="auto"/>
    </cs:lnRef>
    <cs:fillRef idx="0"/>
    <cs:effectRef idx="0"/>
    <cs:fontRef idx="minor">
      <a:srgbClr val="000000"/>
    </cs:fontRef>
    <cs:spPr>
      <a:ln w="19050" cap="rnd">
        <a:solidFill>
          <a:srgbClr val="FFFFFF"/>
        </a:solidFill>
        <a:prstDash val="sysDash"/>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rgbClr val="595959">
        <a:lumMod val="65000"/>
        <a:lumOff val="35000"/>
      </a:srgbClr>
    </cs:fontRef>
    <cs:defRPr sz="900" kern="1200" cap="all"/>
  </cs:axisTitle>
  <cs:categoryAxis>
    <cs:lnRef idx="0"/>
    <cs:fillRef idx="0"/>
    <cs:effectRef idx="0"/>
    <cs:fontRef idx="minor">
      <a:srgbClr val="595959">
        <a:lumMod val="65000"/>
        <a:lumOff val="35000"/>
      </a:srgbClr>
    </cs:fontRef>
    <cs:defRPr sz="900" kern="120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rgbClr val="FFFFFF"/>
      </a:solidFill>
      <a:ln>
        <a:solidFill>
          <a:srgbClr val="FFFFFF"/>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rgbClr val="000000"/>
    </cs:fontRef>
    <cs:spPr>
      <a:solidFill>
        <a:srgbClr val="FFFFFF"/>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rgbClr val="000000"/>
    </cs:fontRef>
    <cs:spPr>
      <a:solidFill>
        <a:srgbClr val="FFFFFF"/>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rgbClr val="000000"/>
    </cs:fontRef>
    <cs:spPr>
      <a:ln w="28575" cap="rnd">
        <a:solidFill>
          <a:srgbClr val="FFFFFF"/>
        </a:solidFill>
        <a:round/>
      </a:ln>
    </cs:spPr>
  </cs:dataPointLine>
  <cs:dataPointMarker>
    <cs:lnRef idx="0"/>
    <cs:fillRef idx="0">
      <cs:styleClr val="auto"/>
    </cs:fillRef>
    <cs:effectRef idx="0"/>
    <cs:fontRef idx="minor">
      <a:srgbClr val="000000"/>
    </cs:fontRef>
    <cs:spPr>
      <a:solidFill>
        <a:srgbClr val="FFFFFF"/>
      </a:solidFill>
      <a:ln w="9525">
        <a:solidFill>
          <a:srgbClr val="FFFFFF"/>
        </a:solidFill>
      </a:ln>
    </cs:spPr>
  </cs:dataPointMarker>
  <cs:dataPointMarkerLayout symbol="circle" size="6"/>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noFill/>
      <a:ln w="9525" cap="flat" cmpd="sng" algn="ctr">
        <a:solidFill>
          <a:srgbClr val="D9D9D9">
            <a:lumMod val="15000"/>
            <a:lumOff val="85000"/>
          </a:srgbClr>
        </a:solidFill>
        <a:round/>
      </a:ln>
    </cs:spPr>
    <cs:defRPr sz="900" kern="1200"/>
  </cs:dataTable>
  <cs:downBar>
    <cs:lnRef idx="0"/>
    <cs:fillRef idx="0"/>
    <cs:effectRef idx="0"/>
    <cs:fontRef idx="minor">
      <a:srgbClr val="000000"/>
    </cs:fontRef>
    <cs:spPr>
      <a:solidFill>
        <a:srgbClr val="404040">
          <a:lumMod val="75000"/>
          <a:lumOff val="25000"/>
        </a:srgbClr>
      </a:solidFill>
      <a:ln w="9525" cap="flat" cmpd="sng" algn="ctr">
        <a:solidFill>
          <a:srgbClr val="595959">
            <a:lumMod val="65000"/>
            <a:lumOff val="35000"/>
          </a:srgbClr>
        </a:solidFill>
        <a:round/>
      </a:ln>
    </cs:spPr>
  </cs:downBar>
  <cs:dropLine>
    <cs:lnRef idx="0"/>
    <cs:fillRef idx="0"/>
    <cs:effectRef idx="0"/>
    <cs:fontRef idx="minor">
      <a:srgbClr val="000000"/>
    </cs:fontRef>
    <cs:spPr>
      <a:ln w="9525" cap="flat" cmpd="sng" algn="ctr">
        <a:solidFill>
          <a:srgbClr val="A6A6A6">
            <a:lumMod val="35000"/>
            <a:lumOff val="65000"/>
          </a:srgbClr>
        </a:solidFill>
        <a:round/>
      </a:ln>
    </cs:spPr>
  </cs:dropLine>
  <cs:errorBar>
    <cs:lnRef idx="0"/>
    <cs:fillRef idx="0"/>
    <cs:effectRef idx="0"/>
    <cs:fontRef idx="minor">
      <a:srgbClr val="000000"/>
    </cs:fontRef>
    <cs:spPr>
      <a:ln w="9525" cap="flat" cmpd="sng" algn="ctr">
        <a:solidFill>
          <a:srgbClr val="595959">
            <a:lumMod val="65000"/>
            <a:lumOff val="35000"/>
          </a:srgbClr>
        </a:solidFill>
        <a:round/>
      </a:ln>
    </cs:spPr>
  </cs:errorBar>
  <cs:floor>
    <cs:lnRef idx="0"/>
    <cs:fillRef idx="0"/>
    <cs:effectRef idx="0"/>
    <cs:fontRef idx="minor">
      <a:srgbClr val="000000"/>
    </cs:fontRef>
    <cs:spPr>
      <a:noFill/>
      <a:ln>
        <a:noFill/>
      </a:ln>
    </cs:spPr>
  </cs:floor>
  <cs:gridlineMajor>
    <cs:lnRef idx="0"/>
    <cs:fillRef idx="0"/>
    <cs:effectRef idx="0"/>
    <cs:fontRef idx="minor">
      <a:srgbClr val="000000"/>
    </cs:fontRef>
    <cs:spPr>
      <a:ln w="9525" cap="flat" cmpd="sng" algn="ctr">
        <a:solidFill>
          <a:srgbClr val="D9D9D9">
            <a:lumMod val="15000"/>
            <a:lumOff val="85000"/>
          </a:srgbClr>
        </a:solidFill>
        <a:round/>
      </a:ln>
    </cs:spPr>
  </cs:gridlineMajor>
  <cs:gridlineMinor>
    <cs:lnRef idx="0"/>
    <cs:fillRef idx="0"/>
    <cs:effectRef idx="0"/>
    <cs:fontRef idx="minor">
      <a:srgbClr val="000000"/>
    </cs:fontRef>
    <cs:spPr>
      <a:ln w="9525" cap="flat" cmpd="sng" algn="ctr">
        <a:solidFill>
          <a:srgbClr val="F2F2F2">
            <a:lumMod val="5000"/>
            <a:lumOff val="95000"/>
          </a:srgbClr>
        </a:solidFill>
        <a:round/>
      </a:ln>
    </cs:spPr>
  </cs:gridlineMinor>
  <cs:hiLoLine>
    <cs:lnRef idx="0"/>
    <cs:fillRef idx="0"/>
    <cs:effectRef idx="0"/>
    <cs:fontRef idx="minor">
      <a:srgbClr val="000000"/>
    </cs:fontRef>
    <cs:spPr>
      <a:ln w="9525" cap="flat" cmpd="sng" algn="ctr">
        <a:solidFill>
          <a:srgbClr val="808080">
            <a:lumMod val="50000"/>
            <a:lumOff val="50000"/>
          </a:srgbClr>
        </a:solidFill>
        <a:round/>
      </a:ln>
    </cs:spPr>
  </cs:hiLoLine>
  <cs:leaderLine>
    <cs:lnRef idx="0"/>
    <cs:fillRef idx="0"/>
    <cs:effectRef idx="0"/>
    <cs:fontRef idx="minor">
      <a:srgbClr val="000000"/>
    </cs:fontRef>
    <cs:spPr>
      <a:ln w="9525" cap="flat" cmpd="sng" algn="ctr">
        <a:solidFill>
          <a:srgbClr val="A6A6A6">
            <a:lumMod val="35000"/>
            <a:lumOff val="65000"/>
          </a:srgbClr>
        </a:solidFill>
        <a:round/>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defRPr sz="900" kern="1200"/>
  </cs:seriesAxis>
  <cs:seriesLine>
    <cs:lnRef idx="0"/>
    <cs:fillRef idx="0"/>
    <cs:effectRef idx="0"/>
    <cs:fontRef idx="minor">
      <a:srgbClr val="000000"/>
    </cs:fontRef>
    <cs:spPr>
      <a:ln w="9525" cap="flat" cmpd="sng" algn="ctr">
        <a:solidFill>
          <a:srgbClr val="A6A6A6">
            <a:lumMod val="35000"/>
            <a:lumOff val="65000"/>
          </a:srgbClr>
        </a:solidFill>
        <a:round/>
      </a:ln>
    </cs:spPr>
  </cs:seriesLine>
  <cs:title>
    <cs:lnRef idx="0"/>
    <cs:fillRef idx="0"/>
    <cs:effectRef idx="0"/>
    <cs:fontRef idx="minor">
      <a:srgbClr val="595959">
        <a:lumMod val="65000"/>
        <a:lumOff val="35000"/>
      </a:srgbClr>
    </cs:fontRef>
    <cs:defRPr sz="1600" b="1" kern="1200" cap="all" baseline="0"/>
  </cs:title>
  <cs:trendline>
    <cs:lnRef idx="0">
      <cs:styleClr val="auto"/>
    </cs:lnRef>
    <cs:fillRef idx="0"/>
    <cs:effectRef idx="0"/>
    <cs:fontRef idx="minor">
      <a:srgbClr val="000000"/>
    </cs:fontRef>
    <cs:spPr>
      <a:ln w="19050" cap="rnd">
        <a:solidFill>
          <a:srgbClr val="FFFFFF"/>
        </a:solidFill>
        <a:prstDash val="sysDash"/>
      </a:ln>
    </cs:spPr>
  </cs:trendline>
  <cs:trendlineLabel>
    <cs:lnRef idx="0"/>
    <cs:fillRef idx="0"/>
    <cs:effectRef idx="0"/>
    <cs:fontRef idx="minor">
      <a:srgbClr val="595959">
        <a:lumMod val="65000"/>
        <a:lumOff val="35000"/>
      </a:srgbClr>
    </cs:fontRef>
    <cs:defRPr sz="900" kern="1200"/>
  </cs:trendlineLabel>
  <cs:upBar>
    <cs:lnRef idx="0"/>
    <cs:fillRef idx="0"/>
    <cs:effectRef idx="0"/>
    <cs:fontRef idx="minor">
      <a:srgbClr val="000000"/>
    </cs:fontRef>
    <cs:spPr>
      <a:solidFill>
        <a:srgbClr val="FFFFFF"/>
      </a:solidFill>
      <a:ln w="9525" cap="flat" cmpd="sng" algn="ctr">
        <a:solidFill>
          <a:srgbClr val="595959">
            <a:lumMod val="65000"/>
            <a:lumOff val="35000"/>
          </a:srgbClr>
        </a:solidFill>
        <a:round/>
      </a:ln>
    </cs:spPr>
  </cs:upBar>
  <cs:valueAxis>
    <cs:lnRef idx="0"/>
    <cs:fillRef idx="0"/>
    <cs:effectRef idx="0"/>
    <cs:fontRef idx="minor">
      <a:srgbClr val="595959">
        <a:lumMod val="65000"/>
        <a:lumOff val="35000"/>
      </a:srgbClr>
    </cs:fontRef>
    <cs:defRPr sz="900" kern="1200"/>
  </cs:valueAxis>
  <cs:wall>
    <cs:lnRef idx="0"/>
    <cs:fillRef idx="0"/>
    <cs:effectRef idx="0"/>
    <cs:fontRef idx="minor">
      <a:srgbClr val="000000"/>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17</Pages>
  <Words>9099</Words>
  <Characters>10833</Characters>
  <Lines>32</Lines>
  <Paragraphs>9</Paragraphs>
  <TotalTime>11</TotalTime>
  <ScaleCrop>false</ScaleCrop>
  <LinksUpToDate>false</LinksUpToDate>
  <CharactersWithSpaces>11135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2021-04-22T16:35:00Z</dcterms:created>
  <dc:creator>微软用户</dc:creator>
  <cp:lastModifiedBy>月亮姐姐</cp:lastModifiedBy>
  <cp:lastPrinted>2015-01-29T23:20:00Z</cp:lastPrinted>
  <dcterms:modified xsi:type="dcterms:W3CDTF">2023-03-06T09:22:36Z</dcterms:modified>
  <dc:title>全国教育科学规划领导小组办公室</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D04E48C972BA4492A381228BB3A2EFF2</vt:lpwstr>
  </property>
</Properties>
</file>